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contextualSpacing/>
        <w:rPr>
          <w:rFonts w:ascii="黑体" w:hAnsi="黑体" w:eastAsia="黑体"/>
          <w:sz w:val="32"/>
          <w:szCs w:val="32"/>
        </w:rPr>
      </w:pPr>
      <w:r>
        <w:rPr>
          <w:rFonts w:ascii="黑体" w:hAnsi="黑体" w:eastAsia="黑体"/>
          <w:sz w:val="32"/>
          <w:szCs w:val="32"/>
        </w:rPr>
        <w:t>附件2</w:t>
      </w:r>
    </w:p>
    <w:p>
      <w:pPr>
        <w:widowControl/>
        <w:spacing w:line="560" w:lineRule="exact"/>
        <w:contextualSpacing/>
        <w:jc w:val="center"/>
        <w:rPr>
          <w:rFonts w:hint="eastAsia" w:ascii="黑体" w:hAnsi="黑体" w:eastAsia="黑体"/>
          <w:kern w:val="0"/>
          <w:sz w:val="36"/>
          <w:szCs w:val="36"/>
        </w:rPr>
      </w:pPr>
      <w:r>
        <w:rPr>
          <w:rFonts w:ascii="黑体" w:hAnsi="黑体" w:eastAsia="黑体"/>
          <w:kern w:val="0"/>
          <w:sz w:val="36"/>
          <w:szCs w:val="36"/>
        </w:rPr>
        <w:t>上海市卫生健康委2021年卫生健康政策研究课题</w:t>
      </w:r>
    </w:p>
    <w:p>
      <w:pPr>
        <w:widowControl/>
        <w:spacing w:line="560" w:lineRule="exact"/>
        <w:contextualSpacing/>
        <w:jc w:val="center"/>
        <w:rPr>
          <w:rFonts w:hint="eastAsia" w:ascii="黑体" w:hAnsi="黑体" w:eastAsia="黑体"/>
          <w:kern w:val="0"/>
          <w:sz w:val="36"/>
          <w:szCs w:val="36"/>
        </w:rPr>
      </w:pPr>
      <w:r>
        <w:rPr>
          <w:rFonts w:ascii="黑体" w:hAnsi="黑体" w:eastAsia="黑体"/>
          <w:kern w:val="0"/>
          <w:sz w:val="36"/>
          <w:szCs w:val="36"/>
        </w:rPr>
        <w:t>（自选）立项一览表</w:t>
      </w:r>
    </w:p>
    <w:p>
      <w:pPr>
        <w:widowControl/>
        <w:spacing w:line="560" w:lineRule="exact"/>
        <w:contextualSpacing/>
        <w:jc w:val="center"/>
        <w:rPr>
          <w:rFonts w:hint="eastAsia" w:ascii="黑体" w:hAnsi="黑体" w:eastAsia="黑体"/>
          <w:kern w:val="0"/>
          <w:sz w:val="36"/>
          <w:szCs w:val="36"/>
        </w:rPr>
      </w:pPr>
    </w:p>
    <w:tbl>
      <w:tblPr>
        <w:tblStyle w:val="2"/>
        <w:tblW w:w="9357" w:type="dxa"/>
        <w:tblInd w:w="-318" w:type="dxa"/>
        <w:tblLayout w:type="autofit"/>
        <w:tblCellMar>
          <w:top w:w="0" w:type="dxa"/>
          <w:left w:w="108" w:type="dxa"/>
          <w:bottom w:w="0" w:type="dxa"/>
          <w:right w:w="108" w:type="dxa"/>
        </w:tblCellMar>
      </w:tblPr>
      <w:tblGrid>
        <w:gridCol w:w="1408"/>
        <w:gridCol w:w="4405"/>
        <w:gridCol w:w="2410"/>
        <w:gridCol w:w="1134"/>
      </w:tblGrid>
      <w:tr>
        <w:tblPrEx>
          <w:tblCellMar>
            <w:top w:w="0" w:type="dxa"/>
            <w:left w:w="108" w:type="dxa"/>
            <w:bottom w:w="0" w:type="dxa"/>
            <w:right w:w="108" w:type="dxa"/>
          </w:tblCellMar>
        </w:tblPrEx>
        <w:trPr>
          <w:trHeight w:val="620" w:hRule="atLeast"/>
        </w:trPr>
        <w:tc>
          <w:tcPr>
            <w:tcW w:w="1408" w:type="dxa"/>
            <w:tcBorders>
              <w:top w:val="single" w:color="auto" w:sz="4" w:space="0"/>
              <w:left w:val="single" w:color="auto" w:sz="4" w:space="0"/>
              <w:bottom w:val="single" w:color="auto" w:sz="4" w:space="0"/>
              <w:right w:val="single" w:color="auto" w:sz="4" w:space="0"/>
            </w:tcBorders>
            <w:shd w:val="clear" w:color="000000" w:fill="auto"/>
            <w:noWrap w:val="0"/>
            <w:vAlign w:val="center"/>
          </w:tcPr>
          <w:p>
            <w:pPr>
              <w:widowControl/>
              <w:contextualSpacing/>
              <w:jc w:val="center"/>
              <w:rPr>
                <w:rFonts w:ascii="黑体" w:hAnsi="黑体" w:eastAsia="黑体"/>
                <w:bCs/>
                <w:color w:val="000000"/>
                <w:kern w:val="0"/>
                <w:sz w:val="24"/>
              </w:rPr>
            </w:pPr>
            <w:r>
              <w:rPr>
                <w:rFonts w:ascii="黑体" w:hAnsi="黑体" w:eastAsia="黑体"/>
                <w:bCs/>
                <w:color w:val="000000"/>
                <w:kern w:val="0"/>
                <w:sz w:val="24"/>
              </w:rPr>
              <w:t>序号</w:t>
            </w:r>
          </w:p>
        </w:tc>
        <w:tc>
          <w:tcPr>
            <w:tcW w:w="4405" w:type="dxa"/>
            <w:tcBorders>
              <w:top w:val="single" w:color="auto" w:sz="4" w:space="0"/>
              <w:left w:val="nil"/>
              <w:bottom w:val="single" w:color="auto" w:sz="4" w:space="0"/>
              <w:right w:val="single" w:color="auto" w:sz="4" w:space="0"/>
            </w:tcBorders>
            <w:shd w:val="clear" w:color="000000" w:fill="auto"/>
            <w:noWrap w:val="0"/>
            <w:vAlign w:val="center"/>
          </w:tcPr>
          <w:p>
            <w:pPr>
              <w:widowControl/>
              <w:contextualSpacing/>
              <w:jc w:val="center"/>
              <w:rPr>
                <w:rFonts w:ascii="黑体" w:hAnsi="黑体" w:eastAsia="黑体"/>
                <w:bCs/>
                <w:color w:val="000000"/>
                <w:kern w:val="0"/>
                <w:sz w:val="24"/>
              </w:rPr>
            </w:pPr>
            <w:r>
              <w:rPr>
                <w:rFonts w:hint="eastAsia" w:ascii="黑体" w:hAnsi="黑体" w:eastAsia="黑体"/>
                <w:bCs/>
                <w:color w:val="000000"/>
                <w:kern w:val="0"/>
                <w:sz w:val="24"/>
              </w:rPr>
              <w:t>课题名称</w:t>
            </w:r>
          </w:p>
        </w:tc>
        <w:tc>
          <w:tcPr>
            <w:tcW w:w="2410" w:type="dxa"/>
            <w:tcBorders>
              <w:top w:val="single" w:color="auto" w:sz="4" w:space="0"/>
              <w:left w:val="nil"/>
              <w:bottom w:val="single" w:color="auto" w:sz="4" w:space="0"/>
              <w:right w:val="single" w:color="auto" w:sz="4" w:space="0"/>
            </w:tcBorders>
            <w:shd w:val="clear" w:color="000000" w:fill="auto"/>
            <w:noWrap w:val="0"/>
            <w:vAlign w:val="center"/>
          </w:tcPr>
          <w:p>
            <w:pPr>
              <w:widowControl/>
              <w:contextualSpacing/>
              <w:jc w:val="center"/>
              <w:rPr>
                <w:rFonts w:ascii="黑体" w:hAnsi="黑体" w:eastAsia="黑体"/>
                <w:bCs/>
                <w:color w:val="000000"/>
                <w:kern w:val="0"/>
                <w:sz w:val="24"/>
              </w:rPr>
            </w:pPr>
            <w:r>
              <w:rPr>
                <w:rFonts w:hint="eastAsia" w:ascii="黑体" w:hAnsi="黑体" w:eastAsia="黑体"/>
                <w:bCs/>
                <w:color w:val="000000"/>
                <w:kern w:val="0"/>
                <w:sz w:val="24"/>
              </w:rPr>
              <w:t>单位名称</w:t>
            </w:r>
          </w:p>
        </w:tc>
        <w:tc>
          <w:tcPr>
            <w:tcW w:w="1134" w:type="dxa"/>
            <w:tcBorders>
              <w:top w:val="single" w:color="auto" w:sz="4" w:space="0"/>
              <w:left w:val="nil"/>
              <w:bottom w:val="single" w:color="auto" w:sz="4" w:space="0"/>
              <w:right w:val="single" w:color="auto" w:sz="4" w:space="0"/>
            </w:tcBorders>
            <w:shd w:val="clear" w:color="000000" w:fill="auto"/>
            <w:noWrap/>
            <w:vAlign w:val="center"/>
          </w:tcPr>
          <w:p>
            <w:pPr>
              <w:widowControl/>
              <w:contextualSpacing/>
              <w:jc w:val="center"/>
              <w:rPr>
                <w:rFonts w:ascii="黑体" w:hAnsi="黑体" w:eastAsia="黑体"/>
                <w:bCs/>
                <w:color w:val="000000"/>
                <w:kern w:val="0"/>
                <w:sz w:val="24"/>
              </w:rPr>
            </w:pPr>
            <w:r>
              <w:rPr>
                <w:rFonts w:hint="eastAsia" w:ascii="黑体" w:hAnsi="黑体" w:eastAsia="黑体"/>
                <w:bCs/>
                <w:color w:val="000000"/>
                <w:kern w:val="0"/>
                <w:sz w:val="24"/>
              </w:rPr>
              <w:t>负责人</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2021HP39</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上海公立医院一院多区“一体化”同质发展建设研究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上海市第六人民医院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曹建文</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2021HP40</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长三角地区血液应急跨省联动机制的研究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上海市血液中心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何智纯</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2021HP41</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上海市市级医院临床研究项目预算绩效评价研究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上海市口腔病防治院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吴丹</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2021HP42</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长三角结核病专科联盟建立与运作模式的研究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上海市肺科医院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陈善豪</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2021HP43</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长三角一体化背景下神经外科临床质量数字化评价与管理的探索</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复旦大学附属华山医院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孙一睿</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2021HP44</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基于MDT理念的恶性肿瘤诊疗中心工作机制研究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上海市胸科医院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韩胜昔</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2021HP45</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基于DIP的二级公立医院医疗运营实践与探索</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上海市普陀区人民医院</w:t>
            </w:r>
          </w:p>
        </w:tc>
        <w:tc>
          <w:tcPr>
            <w:tcW w:w="1134" w:type="dxa"/>
            <w:tcBorders>
              <w:top w:val="nil"/>
              <w:left w:val="nil"/>
              <w:bottom w:val="single" w:color="auto" w:sz="4" w:space="0"/>
              <w:right w:val="single" w:color="auto" w:sz="4" w:space="0"/>
            </w:tcBorders>
            <w:noWrap/>
            <w:vAlign w:val="center"/>
          </w:tcPr>
          <w:p>
            <w:pPr>
              <w:widowControl/>
              <w:ind w:firstLine="240" w:firstLineChars="100"/>
              <w:jc w:val="left"/>
              <w:rPr>
                <w:rFonts w:hint="eastAsia" w:ascii="仿宋_GB2312" w:hAnsi="微软雅黑" w:eastAsia="仿宋_GB2312" w:cs="宋体"/>
                <w:kern w:val="0"/>
                <w:sz w:val="24"/>
              </w:rPr>
            </w:pPr>
            <w:r>
              <w:rPr>
                <w:rFonts w:hint="eastAsia" w:ascii="仿宋_GB2312" w:hAnsi="微软雅黑" w:eastAsia="仿宋_GB2312" w:cs="宋体"/>
                <w:kern w:val="0"/>
                <w:sz w:val="24"/>
              </w:rPr>
              <w:t>鲁威</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2021HP46</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基于卫生健康数字化转型的临床工程技术培养体系研究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上海健康医学院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刘杨</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2021HP47</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全科住培医师心身医学服务能力的培养现状及对策研究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上海市同济医院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高源</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2021HP48</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基于数据挖掘和分析的中医重点专科评价体系构建</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上海中医药大学</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管红叶</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2021HP49</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新建大型公立医疗机构规划选址及其公交服务配置研究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同济大学</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潘海啸</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2021HP50</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长三角健康一体化背景下的专科联盟科研和教学资源共享共用模式研究</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上海市医事团体联合管理发展中心</w:t>
            </w:r>
          </w:p>
        </w:tc>
        <w:tc>
          <w:tcPr>
            <w:tcW w:w="1134" w:type="dxa"/>
            <w:tcBorders>
              <w:top w:val="nil"/>
              <w:left w:val="nil"/>
              <w:bottom w:val="single" w:color="auto" w:sz="4" w:space="0"/>
              <w:right w:val="single" w:color="auto" w:sz="4" w:space="0"/>
            </w:tcBorders>
            <w:noWrap w:val="0"/>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宁燕</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2021HP51</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构建上海市医疗后备队及应急响应机制的研究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上海交通大学医学院附属上海儿童医学中心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李浩</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2021HP52</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老年友善互联网医院建设的设计策略研究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华东医院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胡亚琼</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2021HP53</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社区卫生服务中心全面实行预约诊疗模式的策略探索</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上海市静安区南京西路街道社区卫生服务中心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陈雪飞</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2021HP54</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项目牵引专病生物样本库科学管理模式探索及评价</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上海交通大学医学院附属第九人民医院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许锋</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2021HP55</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长三角地区医学实验室检验同质化管理研究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上海市临床检验中心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王华梁</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2021HP56</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基于大型医用设备管理系统间互联互通的智慧管理中枢平台建构研究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复旦大学附属肿瘤医院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董圆</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2021HP57</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上海市精神卫生专科机构认知障碍治疗床位分布研究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上海市卫生和健康发展研究中心（上海市医学科学技术情报研究所）</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王常颖</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2021HP58</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上海市公立医疗机构体检中心向健康管理中心转型的案例研究--以某疗养院为例</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华东疗养院</w:t>
            </w:r>
          </w:p>
        </w:tc>
        <w:tc>
          <w:tcPr>
            <w:tcW w:w="1134" w:type="dxa"/>
            <w:tcBorders>
              <w:top w:val="nil"/>
              <w:left w:val="nil"/>
              <w:bottom w:val="single" w:color="auto" w:sz="4" w:space="0"/>
              <w:right w:val="single" w:color="auto" w:sz="4" w:space="0"/>
            </w:tcBorders>
            <w:noWrap w:val="0"/>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许柏青</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2021HP59</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上海市级医院公共卫生应急防控管理体系优化研究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上海申康医院发展中心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赵明</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2021HP60</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大型公立医院开展国际医疗旅游的SWOT分析与政策建议</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复旦大学附属中山医院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杨震</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2021HP61</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“健康中国2030”战略下消化道肿瘤防控体系现况调研及分析：以上海市普陀区为例</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上海市普陀区中心医院上海中医药大学附属普陀医院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殷佩浩</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2021HP62</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基于组织变革理论的上海市五大新城多院区管理组织架构研究——以新华医院为例</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上海交通大学医学院附属新华医院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肖斌</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2021HP63</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数字化转型视角下的新型护理队伍建设</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中国福利会国际和平妇幼保健院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朱玮</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2021HP64</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本市公立医院医生薪酬、期望薪酬和满意度的机制研究</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上海交通大学医学院附属瑞金医院</w:t>
            </w:r>
          </w:p>
        </w:tc>
        <w:tc>
          <w:tcPr>
            <w:tcW w:w="1134" w:type="dxa"/>
            <w:tcBorders>
              <w:top w:val="nil"/>
              <w:left w:val="nil"/>
              <w:bottom w:val="single" w:color="auto" w:sz="4" w:space="0"/>
              <w:right w:val="single" w:color="auto" w:sz="4" w:space="0"/>
            </w:tcBorders>
            <w:noWrap w:val="0"/>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陈玮</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2021HP65</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上海市部分公立医院专利转化的现实困境及解决路径初探</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复旦大学附属上海市第五人民医院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韩晓洁</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2021HP66</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长三角一体化进程中的中药产业高质量发展研究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上海市中医药科技服务中心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张慧倩</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2021HP67</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基于区域医疗中心的公共卫生防控体系建设研究——以新型冠状病毒肺炎防控为例</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嘉定区南翔医院</w:t>
            </w:r>
          </w:p>
        </w:tc>
        <w:tc>
          <w:tcPr>
            <w:tcW w:w="1134" w:type="dxa"/>
            <w:tcBorders>
              <w:top w:val="nil"/>
              <w:left w:val="nil"/>
              <w:bottom w:val="single" w:color="auto" w:sz="4" w:space="0"/>
              <w:right w:val="single" w:color="auto" w:sz="4" w:space="0"/>
            </w:tcBorders>
            <w:noWrap w:val="0"/>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周海龙</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2021HP68</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基于化学伤害应急救援一体化救治平台的实例探索公共卫生突发事件的全程管理策略</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金山区卫健委</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周小勇</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2021HP69</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现代医院管理制度下的医院智慧档案管理体系建设研究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上海市同济医院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姜淼</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2021HP70</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妇产科医联体在长三角妇幼健康一体化中面临的问题及对策分析</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复旦大学附属妇产科医院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吴志勇</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2021HP71</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长三角公共卫生人力资源分析与对策建议研究</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上海市卫生人才交流服务中心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赵雪萍</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2021HP72</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促进健康体检数据汇聚助力居民健康档案建设——以华东疗养院为例</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华东疗养院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范晓盛</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2021HP73</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上海中医国际医疗旅游发展的路径研究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上海市中医文献馆</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程勇</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2021HP74</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新形势下促进上海市卫生健康数字化转型发展的政策研究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复旦大学</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吴文烈</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2021HP75</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公立医院医疗电子票据应用场景下社会数字化转型的堵点及对策</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上海交通大学医学院附属仁济医院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马伊芳</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2021HP76</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新时代“小巷总理”社会心理服务能力评价指标体系及建议</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上海市静安区精神卫生中心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陈玉明</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2021HP77</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长三角城市间职业健康管理一体化建设思路研究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上海市疾病预防控制中心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蒲立力</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2021HP78</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静安区皮肤病专科医联体智慧化建设探索</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上海市皮肤病医院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赖永贤</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2021HP79</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妇产科专科医院传染病防控能力建设的研究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上海市第一妇婴保健院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武洁</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2021HP80</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社区健康自我管理数字化转型思路研究——以上海市民健康自我管理小组为例</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上海市健康促进中心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袁程</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2021HP81</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以数字化转型为契机的中医流派长三角一体化发展研究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上海市中医文献馆</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康乾</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2021HP82</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本市传染病防控消毒人员现况及人员队伍建设思路研究</w:t>
            </w:r>
          </w:p>
        </w:tc>
        <w:tc>
          <w:tcPr>
            <w:tcW w:w="2410"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上海市疾病预防控制中心</w:t>
            </w:r>
          </w:p>
        </w:tc>
        <w:tc>
          <w:tcPr>
            <w:tcW w:w="1134" w:type="dxa"/>
            <w:tcBorders>
              <w:top w:val="nil"/>
              <w:left w:val="nil"/>
              <w:bottom w:val="single" w:color="auto" w:sz="4" w:space="0"/>
              <w:right w:val="single" w:color="auto" w:sz="4" w:space="0"/>
            </w:tcBorders>
            <w:noWrap w:val="0"/>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田靓</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2021HP83</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上海市医疗机构科研转化管理思路研究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上海市临床检验中心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王寅</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2021HP84</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批量收治呼吸</w:t>
            </w:r>
            <w:bookmarkStart w:id="0" w:name="_GoBack"/>
            <w:bookmarkEnd w:id="0"/>
            <w:r>
              <w:rPr>
                <w:rFonts w:hint="eastAsia" w:ascii="仿宋_GB2312" w:hAnsi="微软雅黑" w:eastAsia="仿宋_GB2312" w:cs="宋体"/>
                <w:kern w:val="0"/>
                <w:sz w:val="24"/>
              </w:rPr>
              <w:t>道传播疾病的护理人力资源配置的研究-以收治新冠为例</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上海市公共卫生临床中心</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张林</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2021HP85</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公立医院财务数字化转型模式构建与实践—以上海市中医医院为例</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上海市中医医院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施方飚</w:t>
            </w:r>
          </w:p>
        </w:tc>
      </w:tr>
      <w:tr>
        <w:tblPrEx>
          <w:tblCellMar>
            <w:top w:w="0" w:type="dxa"/>
            <w:left w:w="108" w:type="dxa"/>
            <w:bottom w:w="0" w:type="dxa"/>
            <w:right w:w="108" w:type="dxa"/>
          </w:tblCellMar>
        </w:tblPrEx>
        <w:trPr>
          <w:trHeight w:val="720" w:hRule="atLeast"/>
        </w:trPr>
        <w:tc>
          <w:tcPr>
            <w:tcW w:w="1408" w:type="dxa"/>
            <w:tcBorders>
              <w:top w:val="nil"/>
              <w:left w:val="single" w:color="auto" w:sz="4" w:space="0"/>
              <w:bottom w:val="single" w:color="auto" w:sz="4" w:space="0"/>
              <w:right w:val="single" w:color="auto" w:sz="4" w:space="0"/>
            </w:tcBorders>
            <w:noWrap w:val="0"/>
            <w:vAlign w:val="center"/>
          </w:tcPr>
          <w:p>
            <w:pPr>
              <w:widowControl/>
              <w:contextualSpacing/>
              <w:jc w:val="center"/>
              <w:rPr>
                <w:rFonts w:hint="eastAsia" w:ascii="仿宋_GB2312" w:eastAsia="仿宋_GB2312"/>
                <w:kern w:val="0"/>
                <w:sz w:val="24"/>
              </w:rPr>
            </w:pPr>
            <w:r>
              <w:rPr>
                <w:rFonts w:hint="eastAsia" w:ascii="仿宋_GB2312" w:eastAsia="仿宋_GB2312"/>
                <w:kern w:val="0"/>
                <w:sz w:val="24"/>
              </w:rPr>
              <w:t>2021HP86</w:t>
            </w:r>
          </w:p>
        </w:tc>
        <w:tc>
          <w:tcPr>
            <w:tcW w:w="4405" w:type="dxa"/>
            <w:tcBorders>
              <w:top w:val="nil"/>
              <w:left w:val="nil"/>
              <w:bottom w:val="single" w:color="auto" w:sz="4" w:space="0"/>
              <w:right w:val="single" w:color="auto" w:sz="4" w:space="0"/>
            </w:tcBorders>
            <w:noWrap w:val="0"/>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妇幼保健医疗服务机构数字化转型问题分析及策略研究</w:t>
            </w:r>
          </w:p>
        </w:tc>
        <w:tc>
          <w:tcPr>
            <w:tcW w:w="2410" w:type="dxa"/>
            <w:tcBorders>
              <w:top w:val="nil"/>
              <w:left w:val="nil"/>
              <w:bottom w:val="single" w:color="auto" w:sz="4" w:space="0"/>
              <w:right w:val="single" w:color="auto" w:sz="4" w:space="0"/>
            </w:tcBorders>
            <w:noWrap/>
            <w:vAlign w:val="center"/>
          </w:tcPr>
          <w:p>
            <w:pPr>
              <w:widowControl/>
              <w:jc w:val="left"/>
              <w:rPr>
                <w:rFonts w:hint="eastAsia" w:ascii="仿宋_GB2312" w:hAnsi="微软雅黑" w:eastAsia="仿宋_GB2312" w:cs="宋体"/>
                <w:kern w:val="0"/>
                <w:sz w:val="24"/>
              </w:rPr>
            </w:pPr>
            <w:r>
              <w:rPr>
                <w:rFonts w:hint="eastAsia" w:ascii="仿宋_GB2312" w:hAnsi="微软雅黑" w:eastAsia="仿宋_GB2312" w:cs="宋体"/>
                <w:kern w:val="0"/>
                <w:sz w:val="24"/>
              </w:rPr>
              <w:t>中国福利会国际和平妇幼保健院</w:t>
            </w:r>
          </w:p>
        </w:tc>
        <w:tc>
          <w:tcPr>
            <w:tcW w:w="1134" w:type="dxa"/>
            <w:tcBorders>
              <w:top w:val="nil"/>
              <w:left w:val="nil"/>
              <w:bottom w:val="single" w:color="auto" w:sz="4" w:space="0"/>
              <w:right w:val="single" w:color="auto" w:sz="4" w:space="0"/>
            </w:tcBorders>
            <w:noWrap/>
            <w:vAlign w:val="center"/>
          </w:tcPr>
          <w:p>
            <w:pPr>
              <w:widowControl/>
              <w:jc w:val="center"/>
              <w:rPr>
                <w:rFonts w:hint="eastAsia" w:ascii="仿宋_GB2312" w:hAnsi="微软雅黑" w:eastAsia="仿宋_GB2312" w:cs="宋体"/>
                <w:kern w:val="0"/>
                <w:sz w:val="24"/>
              </w:rPr>
            </w:pPr>
            <w:r>
              <w:rPr>
                <w:rFonts w:hint="eastAsia" w:ascii="仿宋_GB2312" w:hAnsi="微软雅黑" w:eastAsia="仿宋_GB2312" w:cs="宋体"/>
                <w:kern w:val="0"/>
                <w:sz w:val="24"/>
              </w:rPr>
              <w:t>陈磊</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FA4F73"/>
    <w:rsid w:val="04FA4F73"/>
    <w:rsid w:val="3E8A17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2021-04-29T06:47:00Z</dcterms:created>
  <dc:creator> Ztt</dc:creator>
  <cp:lastModifiedBy> Ztt</cp:lastModifiedBy>
  <dcterms:modified xsi:type="dcterms:W3CDTF">2021-04-29T06:50:36Z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6C19E917017D46B283ED4D0A777C88BF</vt:lpwstr>
  </property>
</Properties>
</file>