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756" w:rsidRDefault="00D02756" w:rsidP="00D02756">
      <w:pPr>
        <w:rPr>
          <w:rFonts w:ascii="黑体" w:eastAsia="黑体" w:hAnsi="黑体" w:hint="eastAsia"/>
          <w:szCs w:val="32"/>
        </w:rPr>
      </w:pPr>
      <w:r>
        <w:rPr>
          <w:rFonts w:ascii="黑体" w:eastAsia="黑体" w:hAnsi="黑体" w:hint="eastAsia"/>
          <w:szCs w:val="32"/>
        </w:rPr>
        <w:t>附件1</w:t>
      </w:r>
    </w:p>
    <w:p w:rsidR="00D02756" w:rsidRDefault="00D02756" w:rsidP="00D02756">
      <w:pPr>
        <w:jc w:val="center"/>
        <w:rPr>
          <w:rFonts w:ascii="宋体" w:eastAsia="宋体" w:hAnsi="宋体" w:hint="eastAsia"/>
          <w:b/>
          <w:sz w:val="44"/>
          <w:szCs w:val="44"/>
        </w:rPr>
      </w:pPr>
      <w:r>
        <w:rPr>
          <w:rFonts w:ascii="宋体" w:eastAsia="宋体" w:hAnsi="宋体" w:hint="eastAsia"/>
          <w:b/>
          <w:sz w:val="44"/>
          <w:szCs w:val="44"/>
        </w:rPr>
        <w:t>干细胞临床研究备案机构自查表</w:t>
      </w:r>
    </w:p>
    <w:p w:rsidR="00D02756" w:rsidRDefault="00D02756" w:rsidP="00D02756">
      <w:pPr>
        <w:jc w:val="center"/>
        <w:rPr>
          <w:rFonts w:ascii="宋体" w:eastAsia="宋体" w:hAnsi="宋体"/>
          <w:b/>
          <w:sz w:val="44"/>
          <w:szCs w:val="44"/>
        </w:rPr>
      </w:pPr>
    </w:p>
    <w:tbl>
      <w:tblPr>
        <w:tblpPr w:leftFromText="180" w:rightFromText="180" w:vertAnchor="text" w:tblpY="1"/>
        <w:tblOverlap w:val="never"/>
        <w:tblW w:w="0" w:type="auto"/>
        <w:tblLayout w:type="fixed"/>
        <w:tblLook w:val="0000"/>
      </w:tblPr>
      <w:tblGrid>
        <w:gridCol w:w="108"/>
        <w:gridCol w:w="64"/>
        <w:gridCol w:w="894"/>
        <w:gridCol w:w="1133"/>
        <w:gridCol w:w="1755"/>
        <w:gridCol w:w="3526"/>
        <w:gridCol w:w="4961"/>
        <w:gridCol w:w="2275"/>
        <w:gridCol w:w="13"/>
      </w:tblGrid>
      <w:tr w:rsidR="00D02756" w:rsidTr="001F59B1">
        <w:trPr>
          <w:gridBefore w:val="2"/>
          <w:wBefore w:w="172" w:type="dxa"/>
          <w:cantSplit/>
          <w:trHeight w:val="660"/>
        </w:trPr>
        <w:tc>
          <w:tcPr>
            <w:tcW w:w="14557" w:type="dxa"/>
            <w:gridSpan w:val="7"/>
            <w:tcBorders>
              <w:top w:val="nil"/>
              <w:left w:val="nil"/>
              <w:bottom w:val="single" w:sz="4" w:space="0" w:color="auto"/>
              <w:right w:val="nil"/>
            </w:tcBorders>
            <w:vAlign w:val="center"/>
          </w:tcPr>
          <w:p w:rsidR="00D02756" w:rsidRDefault="00D02756" w:rsidP="001F59B1">
            <w:pPr>
              <w:rPr>
                <w:rFonts w:ascii="黑体" w:eastAsia="黑体" w:hAnsi="黑体" w:cs="宋体" w:hint="eastAsia"/>
                <w:kern w:val="0"/>
                <w:sz w:val="24"/>
              </w:rPr>
            </w:pPr>
            <w:r>
              <w:rPr>
                <w:rFonts w:ascii="黑体" w:eastAsia="黑体" w:hAnsi="黑体" w:cs="宋体" w:hint="eastAsia"/>
                <w:kern w:val="0"/>
                <w:sz w:val="24"/>
              </w:rPr>
              <w:t>机构名称(单位公章）：                                                 机构法定代表人亲笔签名：</w:t>
            </w:r>
          </w:p>
          <w:p w:rsidR="00D02756" w:rsidRDefault="00D02756" w:rsidP="001F59B1">
            <w:pPr>
              <w:widowControl/>
              <w:jc w:val="left"/>
              <w:rPr>
                <w:rFonts w:ascii="黑体" w:eastAsia="黑体" w:hAnsi="黑体" w:cs="宋体"/>
                <w:kern w:val="0"/>
                <w:sz w:val="24"/>
              </w:rPr>
            </w:pPr>
          </w:p>
        </w:tc>
      </w:tr>
      <w:tr w:rsidR="00D02756" w:rsidTr="001F59B1">
        <w:trPr>
          <w:gridBefore w:val="2"/>
          <w:wBefore w:w="172" w:type="dxa"/>
          <w:trHeight w:val="424"/>
        </w:trPr>
        <w:tc>
          <w:tcPr>
            <w:tcW w:w="3782" w:type="dxa"/>
            <w:gridSpan w:val="3"/>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center"/>
              <w:rPr>
                <w:rFonts w:ascii="黑体" w:eastAsia="黑体" w:hAnsi="黑体" w:cs="宋体"/>
                <w:b/>
                <w:bCs/>
                <w:kern w:val="0"/>
                <w:sz w:val="24"/>
              </w:rPr>
            </w:pPr>
            <w:r>
              <w:rPr>
                <w:rFonts w:ascii="黑体" w:eastAsia="黑体" w:hAnsi="黑体" w:cs="宋体" w:hint="eastAsia"/>
                <w:b/>
                <w:bCs/>
                <w:kern w:val="0"/>
                <w:sz w:val="24"/>
              </w:rPr>
              <w:t>自查项目</w:t>
            </w:r>
          </w:p>
        </w:tc>
        <w:tc>
          <w:tcPr>
            <w:tcW w:w="3526" w:type="dxa"/>
            <w:tcBorders>
              <w:top w:val="nil"/>
              <w:left w:val="nil"/>
              <w:bottom w:val="single" w:sz="4" w:space="0" w:color="auto"/>
              <w:right w:val="single" w:sz="4" w:space="0" w:color="auto"/>
            </w:tcBorders>
            <w:vAlign w:val="center"/>
          </w:tcPr>
          <w:p w:rsidR="00D02756" w:rsidRDefault="00D02756" w:rsidP="001F59B1">
            <w:pPr>
              <w:widowControl/>
              <w:jc w:val="center"/>
              <w:rPr>
                <w:rFonts w:ascii="黑体" w:eastAsia="黑体" w:hAnsi="黑体" w:cs="宋体"/>
                <w:b/>
                <w:bCs/>
                <w:kern w:val="0"/>
                <w:sz w:val="24"/>
              </w:rPr>
            </w:pPr>
            <w:r>
              <w:rPr>
                <w:rFonts w:ascii="黑体" w:eastAsia="黑体" w:hAnsi="黑体" w:cs="宋体" w:hint="eastAsia"/>
                <w:b/>
                <w:bCs/>
                <w:kern w:val="0"/>
                <w:sz w:val="24"/>
              </w:rPr>
              <w:t>自查内容</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center"/>
              <w:rPr>
                <w:rFonts w:ascii="黑体" w:eastAsia="黑体" w:hAnsi="黑体" w:cs="宋体"/>
                <w:b/>
                <w:bCs/>
                <w:kern w:val="0"/>
                <w:sz w:val="24"/>
              </w:rPr>
            </w:pPr>
            <w:r>
              <w:rPr>
                <w:rFonts w:ascii="黑体" w:eastAsia="黑体" w:hAnsi="黑体" w:cs="宋体" w:hint="eastAsia"/>
                <w:b/>
                <w:bCs/>
                <w:kern w:val="0"/>
                <w:sz w:val="24"/>
              </w:rPr>
              <w:t>自查结果</w:t>
            </w:r>
          </w:p>
        </w:tc>
        <w:tc>
          <w:tcPr>
            <w:tcW w:w="2288" w:type="dxa"/>
            <w:gridSpan w:val="2"/>
            <w:tcBorders>
              <w:top w:val="nil"/>
              <w:left w:val="nil"/>
              <w:bottom w:val="single" w:sz="4" w:space="0" w:color="auto"/>
              <w:right w:val="single" w:sz="4" w:space="0" w:color="auto"/>
            </w:tcBorders>
            <w:vAlign w:val="center"/>
          </w:tcPr>
          <w:p w:rsidR="00D02756" w:rsidRDefault="00D02756" w:rsidP="001F59B1">
            <w:pPr>
              <w:widowControl/>
              <w:jc w:val="center"/>
              <w:rPr>
                <w:rFonts w:ascii="黑体" w:eastAsia="黑体" w:hAnsi="黑体" w:cs="宋体"/>
                <w:b/>
                <w:bCs/>
                <w:kern w:val="0"/>
                <w:sz w:val="24"/>
              </w:rPr>
            </w:pPr>
            <w:r>
              <w:rPr>
                <w:rFonts w:ascii="黑体" w:eastAsia="黑体" w:hAnsi="黑体" w:cs="宋体" w:hint="eastAsia"/>
                <w:b/>
                <w:bCs/>
                <w:kern w:val="0"/>
                <w:sz w:val="24"/>
              </w:rPr>
              <w:t>备注</w:t>
            </w:r>
          </w:p>
        </w:tc>
      </w:tr>
      <w:tr w:rsidR="00D02756" w:rsidTr="001F59B1">
        <w:trPr>
          <w:gridBefore w:val="2"/>
          <w:wBefore w:w="172" w:type="dxa"/>
          <w:trHeight w:val="624"/>
        </w:trPr>
        <w:tc>
          <w:tcPr>
            <w:tcW w:w="894" w:type="dxa"/>
            <w:vMerge w:val="restart"/>
            <w:tcBorders>
              <w:top w:val="nil"/>
              <w:left w:val="single" w:sz="4" w:space="0" w:color="auto"/>
              <w:bottom w:val="single" w:sz="4" w:space="0" w:color="auto"/>
              <w:right w:val="single" w:sz="4" w:space="0" w:color="auto"/>
            </w:tcBorders>
            <w:vAlign w:val="center"/>
          </w:tcPr>
          <w:p w:rsidR="00D02756" w:rsidRDefault="00D02756" w:rsidP="001F59B1">
            <w:pPr>
              <w:widowControl/>
              <w:jc w:val="center"/>
              <w:rPr>
                <w:rFonts w:ascii="仿宋_GB2312" w:hAnsi="宋体" w:cs="宋体"/>
                <w:bCs/>
                <w:kern w:val="0"/>
                <w:sz w:val="24"/>
              </w:rPr>
            </w:pPr>
            <w:r>
              <w:rPr>
                <w:rFonts w:ascii="仿宋_GB2312" w:hAnsi="宋体" w:cs="宋体" w:hint="eastAsia"/>
                <w:bCs/>
                <w:kern w:val="0"/>
                <w:sz w:val="24"/>
              </w:rPr>
              <w:t xml:space="preserve">1.人员  </w:t>
            </w:r>
          </w:p>
        </w:tc>
        <w:tc>
          <w:tcPr>
            <w:tcW w:w="1133" w:type="dxa"/>
            <w:vMerge w:val="restart"/>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1.1 机构主要负责人</w:t>
            </w:r>
          </w:p>
        </w:tc>
        <w:tc>
          <w:tcPr>
            <w:tcW w:w="175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1.1.1 资质</w:t>
            </w:r>
          </w:p>
        </w:tc>
        <w:tc>
          <w:tcPr>
            <w:tcW w:w="3526"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查看负责人职务、职称，确认干细胞临床研究机构的负责人由医疗机构法人承担，如果为非法人承担，应当有法人签字的授权委托书或机构任命书</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88" w:type="dxa"/>
            <w:gridSpan w:val="2"/>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2"/>
          <w:wBefore w:w="172" w:type="dxa"/>
          <w:trHeight w:val="624"/>
        </w:trPr>
        <w:tc>
          <w:tcPr>
            <w:tcW w:w="894" w:type="dxa"/>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133" w:type="dxa"/>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75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1.1.2 职责</w:t>
            </w:r>
          </w:p>
        </w:tc>
        <w:tc>
          <w:tcPr>
            <w:tcW w:w="3526"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医院负责人分工、相关会议纪要和备案材料，确认干细胞临床研究管理已经明确写入干细胞临床研究主要负责人的职责，相关会议纪要表明主要负责人主持或参加了干细胞相关管理会议，备案材料有负责人审核签字</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88" w:type="dxa"/>
            <w:gridSpan w:val="2"/>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2"/>
          <w:wBefore w:w="172" w:type="dxa"/>
          <w:trHeight w:val="624"/>
        </w:trPr>
        <w:tc>
          <w:tcPr>
            <w:tcW w:w="894" w:type="dxa"/>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1.2 临床研究项目负</w:t>
            </w:r>
            <w:r>
              <w:rPr>
                <w:rFonts w:ascii="仿宋_GB2312" w:hAnsi="宋体" w:cs="宋体" w:hint="eastAsia"/>
                <w:bCs/>
                <w:kern w:val="0"/>
                <w:sz w:val="24"/>
              </w:rPr>
              <w:lastRenderedPageBreak/>
              <w:t>责人</w:t>
            </w:r>
          </w:p>
        </w:tc>
        <w:tc>
          <w:tcPr>
            <w:tcW w:w="1755" w:type="dxa"/>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lastRenderedPageBreak/>
              <w:t>1.2.1 资质</w:t>
            </w:r>
          </w:p>
        </w:tc>
        <w:tc>
          <w:tcPr>
            <w:tcW w:w="3526"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查看项目负责人专业技术职称、研究培训经历和工作背景，确认项目负责人具有正高级技术职</w:t>
            </w:r>
            <w:r>
              <w:rPr>
                <w:rFonts w:ascii="仿宋_GB2312" w:hAnsi="宋体" w:cs="宋体" w:hint="eastAsia"/>
                <w:kern w:val="0"/>
                <w:sz w:val="24"/>
              </w:rPr>
              <w:lastRenderedPageBreak/>
              <w:t>称，主持或作为主要研究人员参加过临床研究工作，参加过GCP培训，无不良科研信誉记录</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lastRenderedPageBreak/>
              <w:t xml:space="preserve">　</w:t>
            </w:r>
          </w:p>
        </w:tc>
        <w:tc>
          <w:tcPr>
            <w:tcW w:w="2288" w:type="dxa"/>
            <w:gridSpan w:val="2"/>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133" w:type="dxa"/>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755" w:type="dxa"/>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1.2.2 职责</w:t>
            </w:r>
          </w:p>
        </w:tc>
        <w:tc>
          <w:tcPr>
            <w:tcW w:w="3526" w:type="dxa"/>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查看项目负责人的职责分工，确认项目负责人已经获得机构授权负责研究设计、计划、实施、人员培训和项目管理</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val="restart"/>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1.3 制剂质量受权人</w:t>
            </w:r>
          </w:p>
        </w:tc>
        <w:tc>
          <w:tcPr>
            <w:tcW w:w="175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1.3.1 资质</w:t>
            </w:r>
          </w:p>
        </w:tc>
        <w:tc>
          <w:tcPr>
            <w:tcW w:w="3526"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质量受权人的任命文件、专业技术职称、研究培训经历和工作背景，确认质量受权人获得机构或主要负责人授权，具有3年或以上的干细胞制剂制备和质量管理实践经验，从事过相关产品过程控制和质量检验工作</w:t>
            </w:r>
          </w:p>
        </w:tc>
        <w:tc>
          <w:tcPr>
            <w:tcW w:w="4961"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133" w:type="dxa"/>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75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1.3.2 职责</w:t>
            </w:r>
          </w:p>
        </w:tc>
        <w:tc>
          <w:tcPr>
            <w:tcW w:w="3526"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查看质量受权人职责和干细胞制剂放行记录，确认质量受权人已被赋予审核制备记录和制剂放行等职责，干细胞制剂在使用前有质量受权人的审核记录和签字</w:t>
            </w:r>
          </w:p>
        </w:tc>
        <w:tc>
          <w:tcPr>
            <w:tcW w:w="4961"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133"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1.4 研究人员</w:t>
            </w:r>
          </w:p>
        </w:tc>
        <w:tc>
          <w:tcPr>
            <w:tcW w:w="175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1.4.1 培训</w:t>
            </w:r>
          </w:p>
        </w:tc>
        <w:tc>
          <w:tcPr>
            <w:tcW w:w="3526"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查看研究人员名单、培训证书和项目培训记录，确认临床研究所有人员均经过了GCP培训和相关技术培训，研究项目启动前对研究人员进行了充分的培训</w:t>
            </w:r>
          </w:p>
        </w:tc>
        <w:tc>
          <w:tcPr>
            <w:tcW w:w="4961"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center"/>
              <w:rPr>
                <w:rFonts w:ascii="仿宋_GB2312" w:hAnsi="宋体" w:cs="宋体"/>
                <w:bCs/>
                <w:kern w:val="0"/>
                <w:sz w:val="24"/>
              </w:rPr>
            </w:pPr>
            <w:r>
              <w:rPr>
                <w:rFonts w:ascii="仿宋_GB2312" w:hAnsi="宋体" w:cs="宋体" w:hint="eastAsia"/>
                <w:bCs/>
                <w:kern w:val="0"/>
                <w:sz w:val="24"/>
              </w:rPr>
              <w:lastRenderedPageBreak/>
              <w:t>2. 组织管理</w:t>
            </w:r>
          </w:p>
        </w:tc>
        <w:tc>
          <w:tcPr>
            <w:tcW w:w="1133" w:type="dxa"/>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2.1 管理机构</w:t>
            </w:r>
          </w:p>
        </w:tc>
        <w:tc>
          <w:tcPr>
            <w:tcW w:w="175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2.1.1 独立的临床研究</w:t>
            </w:r>
          </w:p>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管理部门</w:t>
            </w:r>
          </w:p>
        </w:tc>
        <w:tc>
          <w:tcPr>
            <w:tcW w:w="3526"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查看机构组织管理图，确认已经设立或指定独立的临床研究管理部门，且管理部门已经履行了干细胞临床研究的管理职能</w:t>
            </w:r>
          </w:p>
        </w:tc>
        <w:tc>
          <w:tcPr>
            <w:tcW w:w="4961"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val="restart"/>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75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2.1.2 管理制度</w:t>
            </w:r>
          </w:p>
        </w:tc>
        <w:tc>
          <w:tcPr>
            <w:tcW w:w="3526"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查看干细胞临床研究管理制度，确认干细胞临床研究管理制度已经建立，且内容涵盖项目申请、审核、质量管理、风险管理等内容，相关管理制度已得到落实</w:t>
            </w:r>
          </w:p>
        </w:tc>
        <w:tc>
          <w:tcPr>
            <w:tcW w:w="4961"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2.2 学术委员会</w:t>
            </w:r>
          </w:p>
        </w:tc>
        <w:tc>
          <w:tcPr>
            <w:tcW w:w="175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2.2.1 专家水平</w:t>
            </w:r>
          </w:p>
        </w:tc>
        <w:tc>
          <w:tcPr>
            <w:tcW w:w="3526"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查看学术委员会名册和专家简历，确认多数专家在国家或省内学术界具有较高的声望，在省级以上的学术团体任职，有较高的专业水平</w:t>
            </w:r>
          </w:p>
        </w:tc>
        <w:tc>
          <w:tcPr>
            <w:tcW w:w="4961"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271"/>
        </w:trPr>
        <w:tc>
          <w:tcPr>
            <w:tcW w:w="958" w:type="dxa"/>
            <w:gridSpan w:val="2"/>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75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2.2.2 专业组成</w:t>
            </w:r>
          </w:p>
        </w:tc>
        <w:tc>
          <w:tcPr>
            <w:tcW w:w="3526"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查看学术委员会名册，确认委员专业已经涵盖临床相关学科、干细胞基础和临床研究学科、干细胞制备技术、干细胞质量控制、生物医学统计、流行病学等相关学科</w:t>
            </w:r>
          </w:p>
        </w:tc>
        <w:tc>
          <w:tcPr>
            <w:tcW w:w="4961"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75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2.2.3 工作制度</w:t>
            </w:r>
          </w:p>
        </w:tc>
        <w:tc>
          <w:tcPr>
            <w:tcW w:w="3526"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查看学术委员会工作制度，确认已经建立学术委员会工作制度</w:t>
            </w:r>
          </w:p>
        </w:tc>
        <w:tc>
          <w:tcPr>
            <w:tcW w:w="4961"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75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2.2.4 工作情况</w:t>
            </w:r>
          </w:p>
        </w:tc>
        <w:tc>
          <w:tcPr>
            <w:tcW w:w="3526"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查看学术委员会会议记录，确认学术委员会按制度开展项目审核</w:t>
            </w:r>
          </w:p>
        </w:tc>
        <w:tc>
          <w:tcPr>
            <w:tcW w:w="4961"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2.3 伦理委员会</w:t>
            </w:r>
          </w:p>
        </w:tc>
        <w:tc>
          <w:tcPr>
            <w:tcW w:w="175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2.3.1 人员数量</w:t>
            </w:r>
          </w:p>
        </w:tc>
        <w:tc>
          <w:tcPr>
            <w:tcW w:w="3526"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查看伦理委员会名册，确认伦理委员会成员不少于7位</w:t>
            </w:r>
          </w:p>
        </w:tc>
        <w:tc>
          <w:tcPr>
            <w:tcW w:w="4961"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75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2.3.2 专业组成</w:t>
            </w:r>
          </w:p>
        </w:tc>
        <w:tc>
          <w:tcPr>
            <w:tcW w:w="3526"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查看伦理委员会名册和简历，确认委员专业涵盖了医学、伦理学、法学、管理学、社会学等领域</w:t>
            </w:r>
          </w:p>
        </w:tc>
        <w:tc>
          <w:tcPr>
            <w:tcW w:w="4961"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755" w:type="dxa"/>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2.3.3 审查制度</w:t>
            </w:r>
          </w:p>
        </w:tc>
        <w:tc>
          <w:tcPr>
            <w:tcW w:w="3526" w:type="dxa"/>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查看伦理委员会工作制度，确认已经建立独立的伦理审核制度，相关程序和操作规范健全</w:t>
            </w:r>
          </w:p>
        </w:tc>
        <w:tc>
          <w:tcPr>
            <w:tcW w:w="4961"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755" w:type="dxa"/>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2.3.4 工作情况</w:t>
            </w:r>
          </w:p>
        </w:tc>
        <w:tc>
          <w:tcPr>
            <w:tcW w:w="3526" w:type="dxa"/>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查看伦理委员会会议记录和相关决议，确认伦理委员会按制度开展项目伦理审核</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2.4 审计体系</w:t>
            </w:r>
          </w:p>
        </w:tc>
        <w:tc>
          <w:tcPr>
            <w:tcW w:w="1755" w:type="dxa"/>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2.4.1 内审制度</w:t>
            </w:r>
          </w:p>
        </w:tc>
        <w:tc>
          <w:tcPr>
            <w:tcW w:w="3526" w:type="dxa"/>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查看干细胞临床研究内审制度，确认干细胞临床研究内审制度已经建立，内容涵盖了干细胞临床研究质量管理和干细胞制剂制备质量管理内审</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75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2.4.2 外审制度</w:t>
            </w:r>
          </w:p>
        </w:tc>
        <w:tc>
          <w:tcPr>
            <w:tcW w:w="3526"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查看干细胞临床研究外审制度，确认干细胞临床研究外审制度已经建立，内容涵盖了干细胞临床研究质量管理和干细胞制剂制备质量管理外审</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single" w:sz="4" w:space="0" w:color="auto"/>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75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2.4.3 制度落实</w:t>
            </w:r>
          </w:p>
        </w:tc>
        <w:tc>
          <w:tcPr>
            <w:tcW w:w="3526"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查看内审和外审记录，确认已经按照内、外审制度开展干细胞临床研究内审、外审</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val="restart"/>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lastRenderedPageBreak/>
              <w:t>3. 研究项目</w:t>
            </w:r>
          </w:p>
        </w:tc>
        <w:tc>
          <w:tcPr>
            <w:tcW w:w="1133" w:type="dxa"/>
            <w:vMerge w:val="restart"/>
            <w:tcBorders>
              <w:top w:val="nil"/>
              <w:left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 xml:space="preserve">3.1 </w:t>
            </w:r>
            <w:proofErr w:type="gramStart"/>
            <w:r>
              <w:rPr>
                <w:rFonts w:ascii="仿宋_GB2312" w:hAnsi="宋体" w:cs="宋体" w:hint="eastAsia"/>
                <w:bCs/>
                <w:kern w:val="0"/>
                <w:sz w:val="24"/>
              </w:rPr>
              <w:t>项拟开展</w:t>
            </w:r>
            <w:proofErr w:type="gramEnd"/>
            <w:r>
              <w:rPr>
                <w:rFonts w:ascii="仿宋_GB2312" w:hAnsi="宋体" w:cs="宋体" w:hint="eastAsia"/>
                <w:bCs/>
                <w:kern w:val="0"/>
                <w:sz w:val="24"/>
              </w:rPr>
              <w:t>项目</w:t>
            </w:r>
          </w:p>
        </w:tc>
        <w:tc>
          <w:tcPr>
            <w:tcW w:w="175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3.1.1 准备情况</w:t>
            </w:r>
          </w:p>
        </w:tc>
        <w:tc>
          <w:tcPr>
            <w:tcW w:w="3526"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对拟开展项目进行摸底，掌握项目准备的进度</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tcBorders>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75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3.1.2 预计备案时间</w:t>
            </w:r>
          </w:p>
        </w:tc>
        <w:tc>
          <w:tcPr>
            <w:tcW w:w="3526"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按照项目准备的进度，预计拟开展项目备案的时间</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p>
        </w:tc>
        <w:tc>
          <w:tcPr>
            <w:tcW w:w="227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p>
        </w:tc>
      </w:tr>
      <w:tr w:rsidR="00D02756" w:rsidTr="001F59B1">
        <w:trPr>
          <w:gridBefore w:val="1"/>
          <w:gridAfter w:val="1"/>
          <w:wBefore w:w="108" w:type="dxa"/>
          <w:wAfter w:w="13" w:type="dxa"/>
          <w:trHeight w:val="624"/>
        </w:trPr>
        <w:tc>
          <w:tcPr>
            <w:tcW w:w="958" w:type="dxa"/>
            <w:gridSpan w:val="2"/>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val="restart"/>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3.2 正在开展项目</w:t>
            </w:r>
          </w:p>
        </w:tc>
        <w:tc>
          <w:tcPr>
            <w:tcW w:w="175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3.2.1 项目备案</w:t>
            </w:r>
          </w:p>
        </w:tc>
        <w:tc>
          <w:tcPr>
            <w:tcW w:w="3526"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检查已经开展的干细胞临床研究项目，确认所有开展的项目均已完成备案，并在我国医学研究登记备案信息系统进行登记</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755" w:type="dxa"/>
            <w:tcBorders>
              <w:top w:val="single" w:sz="4" w:space="0" w:color="auto"/>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3.2.2 进展情况</w:t>
            </w:r>
          </w:p>
        </w:tc>
        <w:tc>
          <w:tcPr>
            <w:tcW w:w="3526"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检查项目进展情况，掌握项目进度，分析项目开展中的问题，总结经验</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p>
        </w:tc>
        <w:tc>
          <w:tcPr>
            <w:tcW w:w="175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3.2.3 预计结束日期</w:t>
            </w:r>
          </w:p>
        </w:tc>
        <w:tc>
          <w:tcPr>
            <w:tcW w:w="3526"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根据项目进度，</w:t>
            </w:r>
            <w:r>
              <w:rPr>
                <w:rFonts w:ascii="仿宋_GB2312" w:hAnsi="宋体" w:cs="宋体" w:hint="eastAsia"/>
                <w:bCs/>
                <w:kern w:val="0"/>
                <w:sz w:val="24"/>
              </w:rPr>
              <w:t>预计项目完成日期</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val="restart"/>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3.3 已经完成(终止)项目</w:t>
            </w:r>
          </w:p>
        </w:tc>
        <w:tc>
          <w:tcPr>
            <w:tcW w:w="175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3.3.1 项目完成（终止）日期</w:t>
            </w:r>
          </w:p>
        </w:tc>
        <w:tc>
          <w:tcPr>
            <w:tcW w:w="3526"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统计</w:t>
            </w:r>
            <w:r>
              <w:rPr>
                <w:rFonts w:ascii="仿宋_GB2312" w:hAnsi="宋体" w:cs="宋体" w:hint="eastAsia"/>
                <w:bCs/>
                <w:kern w:val="0"/>
                <w:sz w:val="24"/>
              </w:rPr>
              <w:t>项目</w:t>
            </w:r>
            <w:r>
              <w:rPr>
                <w:rFonts w:ascii="仿宋_GB2312" w:hAnsi="宋体" w:cs="宋体" w:hint="eastAsia"/>
                <w:kern w:val="0"/>
                <w:sz w:val="24"/>
              </w:rPr>
              <w:t>已经</w:t>
            </w:r>
            <w:r>
              <w:rPr>
                <w:rFonts w:ascii="仿宋_GB2312" w:hAnsi="宋体" w:cs="宋体" w:hint="eastAsia"/>
                <w:bCs/>
                <w:kern w:val="0"/>
                <w:sz w:val="24"/>
              </w:rPr>
              <w:t>完成（终止）情况，登记项目完成（终止）日期</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75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3.3.2 研究结果</w:t>
            </w:r>
          </w:p>
        </w:tc>
        <w:tc>
          <w:tcPr>
            <w:tcW w:w="3526"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总结已经完成的干细胞临床研究项目，分析研究结果</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624"/>
        </w:trPr>
        <w:tc>
          <w:tcPr>
            <w:tcW w:w="958" w:type="dxa"/>
            <w:gridSpan w:val="2"/>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133" w:type="dxa"/>
            <w:vMerge/>
            <w:tcBorders>
              <w:top w:val="nil"/>
              <w:left w:val="single" w:sz="4" w:space="0" w:color="auto"/>
              <w:bottom w:val="single" w:sz="4" w:space="0" w:color="auto"/>
              <w:right w:val="single" w:sz="4" w:space="0" w:color="auto"/>
            </w:tcBorders>
            <w:vAlign w:val="center"/>
          </w:tcPr>
          <w:p w:rsidR="00D02756" w:rsidRDefault="00D02756" w:rsidP="001F59B1">
            <w:pPr>
              <w:widowControl/>
              <w:jc w:val="left"/>
              <w:rPr>
                <w:rFonts w:ascii="宋体" w:eastAsia="宋体" w:hAnsi="宋体" w:cs="宋体"/>
                <w:b/>
                <w:bCs/>
                <w:kern w:val="0"/>
                <w:sz w:val="24"/>
              </w:rPr>
            </w:pPr>
          </w:p>
        </w:tc>
        <w:tc>
          <w:tcPr>
            <w:tcW w:w="175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bCs/>
                <w:kern w:val="0"/>
                <w:sz w:val="24"/>
              </w:rPr>
            </w:pPr>
            <w:r>
              <w:rPr>
                <w:rFonts w:ascii="仿宋_GB2312" w:hAnsi="宋体" w:cs="宋体" w:hint="eastAsia"/>
                <w:bCs/>
                <w:kern w:val="0"/>
                <w:sz w:val="24"/>
              </w:rPr>
              <w:t>3.3.3 进一步研究计划</w:t>
            </w:r>
          </w:p>
        </w:tc>
        <w:tc>
          <w:tcPr>
            <w:tcW w:w="3526"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已经完成的阶段性研究拟开展的进一步研究</w:t>
            </w:r>
          </w:p>
        </w:tc>
        <w:tc>
          <w:tcPr>
            <w:tcW w:w="4961"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c>
          <w:tcPr>
            <w:tcW w:w="2275" w:type="dxa"/>
            <w:tcBorders>
              <w:top w:val="nil"/>
              <w:left w:val="nil"/>
              <w:bottom w:val="single" w:sz="4" w:space="0" w:color="auto"/>
              <w:right w:val="single" w:sz="4" w:space="0" w:color="auto"/>
            </w:tcBorders>
            <w:vAlign w:val="center"/>
          </w:tcPr>
          <w:p w:rsidR="00D02756" w:rsidRDefault="00D02756" w:rsidP="001F59B1">
            <w:pPr>
              <w:widowControl/>
              <w:jc w:val="left"/>
              <w:rPr>
                <w:rFonts w:ascii="仿宋_GB2312" w:hAnsi="宋体" w:cs="宋体"/>
                <w:kern w:val="0"/>
                <w:sz w:val="24"/>
              </w:rPr>
            </w:pPr>
            <w:r>
              <w:rPr>
                <w:rFonts w:ascii="仿宋_GB2312" w:hAnsi="宋体" w:cs="宋体" w:hint="eastAsia"/>
                <w:kern w:val="0"/>
                <w:sz w:val="24"/>
              </w:rPr>
              <w:t xml:space="preserve">　</w:t>
            </w:r>
          </w:p>
        </w:tc>
      </w:tr>
      <w:tr w:rsidR="00D02756" w:rsidTr="001F59B1">
        <w:trPr>
          <w:gridBefore w:val="1"/>
          <w:gridAfter w:val="1"/>
          <w:wBefore w:w="108" w:type="dxa"/>
          <w:wAfter w:w="13" w:type="dxa"/>
          <w:trHeight w:val="2806"/>
        </w:trPr>
        <w:tc>
          <w:tcPr>
            <w:tcW w:w="14608" w:type="dxa"/>
            <w:gridSpan w:val="7"/>
            <w:tcBorders>
              <w:top w:val="single" w:sz="4" w:space="0" w:color="auto"/>
              <w:left w:val="single" w:sz="4" w:space="0" w:color="auto"/>
              <w:bottom w:val="single" w:sz="4" w:space="0" w:color="auto"/>
              <w:right w:val="single" w:sz="4" w:space="0" w:color="auto"/>
            </w:tcBorders>
          </w:tcPr>
          <w:p w:rsidR="00D02756" w:rsidRDefault="00D02756" w:rsidP="001F59B1">
            <w:pPr>
              <w:widowControl/>
              <w:jc w:val="left"/>
              <w:rPr>
                <w:rFonts w:ascii="仿宋_GB2312" w:hAnsi="宋体" w:cs="宋体"/>
                <w:bCs/>
                <w:kern w:val="0"/>
                <w:sz w:val="28"/>
                <w:szCs w:val="28"/>
              </w:rPr>
            </w:pPr>
            <w:r>
              <w:rPr>
                <w:rFonts w:ascii="仿宋_GB2312" w:hAnsi="宋体" w:cs="宋体" w:hint="eastAsia"/>
                <w:bCs/>
                <w:kern w:val="0"/>
                <w:sz w:val="28"/>
                <w:szCs w:val="28"/>
              </w:rPr>
              <w:lastRenderedPageBreak/>
              <w:t xml:space="preserve">存在问题（请详细填写，注明是否存在没有经过备案已开展的临床研究项目）                  </w:t>
            </w:r>
          </w:p>
          <w:p w:rsidR="00D02756" w:rsidRDefault="00D02756" w:rsidP="001F59B1">
            <w:pPr>
              <w:widowControl/>
              <w:jc w:val="left"/>
              <w:rPr>
                <w:rFonts w:ascii="仿宋_GB2312" w:hAnsi="宋体" w:cs="宋体"/>
                <w:b/>
                <w:bCs/>
                <w:kern w:val="0"/>
                <w:sz w:val="28"/>
                <w:szCs w:val="28"/>
              </w:rPr>
            </w:pPr>
          </w:p>
        </w:tc>
      </w:tr>
      <w:tr w:rsidR="00D02756" w:rsidTr="001F59B1">
        <w:trPr>
          <w:gridAfter w:val="1"/>
          <w:wAfter w:w="13" w:type="dxa"/>
          <w:trHeight w:val="1155"/>
        </w:trPr>
        <w:tc>
          <w:tcPr>
            <w:tcW w:w="14716" w:type="dxa"/>
            <w:gridSpan w:val="8"/>
            <w:tcBorders>
              <w:top w:val="single" w:sz="4" w:space="0" w:color="auto"/>
              <w:left w:val="nil"/>
              <w:bottom w:val="nil"/>
              <w:right w:val="nil"/>
            </w:tcBorders>
            <w:vAlign w:val="center"/>
          </w:tcPr>
          <w:p w:rsidR="00D02756" w:rsidRDefault="00D02756" w:rsidP="001F59B1">
            <w:pPr>
              <w:widowControl/>
              <w:jc w:val="left"/>
              <w:rPr>
                <w:rFonts w:ascii="仿宋_GB2312" w:hAnsi="宋体" w:cs="宋体"/>
                <w:b/>
                <w:bCs/>
                <w:kern w:val="0"/>
                <w:sz w:val="28"/>
                <w:szCs w:val="28"/>
              </w:rPr>
            </w:pPr>
          </w:p>
        </w:tc>
      </w:tr>
    </w:tbl>
    <w:p w:rsidR="00D740C6" w:rsidRPr="00D02756" w:rsidRDefault="00D740C6"/>
    <w:sectPr w:rsidR="00D740C6" w:rsidRPr="00D02756" w:rsidSect="00D02756">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96E" w:rsidRDefault="00D9096E" w:rsidP="00D02756">
      <w:r>
        <w:separator/>
      </w:r>
    </w:p>
  </w:endnote>
  <w:endnote w:type="continuationSeparator" w:id="0">
    <w:p w:rsidR="00D9096E" w:rsidRDefault="00D9096E" w:rsidP="00D0275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96E" w:rsidRDefault="00D9096E" w:rsidP="00D02756">
      <w:r>
        <w:separator/>
      </w:r>
    </w:p>
  </w:footnote>
  <w:footnote w:type="continuationSeparator" w:id="0">
    <w:p w:rsidR="00D9096E" w:rsidRDefault="00D9096E" w:rsidP="00D0275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02756"/>
    <w:rsid w:val="00D02756"/>
    <w:rsid w:val="00D740C6"/>
    <w:rsid w:val="00D9096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756"/>
    <w:pPr>
      <w:widowControl w:val="0"/>
      <w:jc w:val="both"/>
    </w:pPr>
    <w:rPr>
      <w:rFonts w:ascii="Times New Roman" w:eastAsia="仿宋_GB2312"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0275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D02756"/>
    <w:rPr>
      <w:sz w:val="18"/>
      <w:szCs w:val="18"/>
    </w:rPr>
  </w:style>
  <w:style w:type="paragraph" w:styleId="a4">
    <w:name w:val="footer"/>
    <w:basedOn w:val="a"/>
    <w:link w:val="Char0"/>
    <w:uiPriority w:val="99"/>
    <w:semiHidden/>
    <w:unhideWhenUsed/>
    <w:rsid w:val="00D0275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D02756"/>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325</Words>
  <Characters>1857</Characters>
  <Application>Microsoft Office Word</Application>
  <DocSecurity>0</DocSecurity>
  <Lines>15</Lines>
  <Paragraphs>4</Paragraphs>
  <ScaleCrop>false</ScaleCrop>
  <Company>Lenovo</Company>
  <LinksUpToDate>false</LinksUpToDate>
  <CharactersWithSpaces>2178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林云(林云:配合处室意见)</dc:creator>
  <cp:keywords/>
  <dc:description/>
  <cp:lastModifiedBy>林云(林云:配合处室意见)</cp:lastModifiedBy>
  <cp:revision>2</cp:revision>
  <dcterms:created xsi:type="dcterms:W3CDTF">2019-02-26T02:44:00Z</dcterms:created>
  <dcterms:modified xsi:type="dcterms:W3CDTF">2019-02-26T02:45:00Z</dcterms:modified>
</cp:coreProperties>
</file>