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5" w:type="dxa"/>
        <w:tblLayout w:type="fixed"/>
        <w:tblCellMar>
          <w:top w:w="15" w:type="dxa"/>
          <w:left w:w="15" w:type="dxa"/>
          <w:bottom w:w="15" w:type="dxa"/>
          <w:right w:w="15" w:type="dxa"/>
        </w:tblCellMar>
        <w:tblLook w:val="0000"/>
      </w:tblPr>
      <w:tblGrid>
        <w:gridCol w:w="991"/>
        <w:gridCol w:w="1505"/>
        <w:gridCol w:w="3221"/>
        <w:gridCol w:w="3361"/>
        <w:gridCol w:w="2606"/>
        <w:gridCol w:w="2606"/>
        <w:gridCol w:w="985"/>
        <w:gridCol w:w="985"/>
        <w:gridCol w:w="985"/>
      </w:tblGrid>
      <w:tr w:rsidR="005A66D2" w:rsidTr="001F59B1">
        <w:trPr>
          <w:trHeight w:val="540"/>
        </w:trPr>
        <w:tc>
          <w:tcPr>
            <w:tcW w:w="14290" w:type="dxa"/>
            <w:gridSpan w:val="6"/>
            <w:vAlign w:val="center"/>
          </w:tcPr>
          <w:p w:rsidR="005A66D2" w:rsidRDefault="005A66D2" w:rsidP="001F59B1">
            <w:pPr>
              <w:widowControl/>
              <w:jc w:val="left"/>
              <w:textAlignment w:val="center"/>
              <w:rPr>
                <w:rFonts w:ascii="宋体" w:eastAsia="宋体" w:hAnsi="宋体" w:cs="宋体" w:hint="eastAsia"/>
                <w:color w:val="000000"/>
                <w:sz w:val="44"/>
                <w:szCs w:val="44"/>
                <w:lang/>
              </w:rPr>
            </w:pPr>
            <w:r>
              <w:rPr>
                <w:rFonts w:ascii="黑体" w:eastAsia="黑体" w:hAnsi="黑体" w:cs="宋体"/>
                <w:color w:val="000000"/>
                <w:szCs w:val="32"/>
                <w:lang/>
              </w:rPr>
              <w:t>附件2</w:t>
            </w:r>
            <w:r>
              <w:rPr>
                <w:rFonts w:ascii="宋体" w:eastAsia="宋体" w:hAnsi="宋体" w:cs="宋体"/>
                <w:color w:val="000000"/>
                <w:sz w:val="44"/>
                <w:szCs w:val="44"/>
                <w:lang/>
              </w:rPr>
              <w:t xml:space="preserve">       </w:t>
            </w:r>
          </w:p>
          <w:p w:rsidR="005A66D2" w:rsidRDefault="005A66D2" w:rsidP="001F59B1">
            <w:pPr>
              <w:widowControl/>
              <w:ind w:firstLineChars="899" w:firstLine="3971"/>
              <w:textAlignment w:val="center"/>
              <w:rPr>
                <w:rFonts w:ascii="宋体" w:eastAsia="宋体" w:hAnsi="宋体" w:cs="宋体" w:hint="eastAsia"/>
                <w:b/>
                <w:color w:val="000000"/>
                <w:sz w:val="44"/>
                <w:szCs w:val="44"/>
                <w:lang/>
              </w:rPr>
            </w:pPr>
            <w:r>
              <w:rPr>
                <w:rFonts w:ascii="宋体" w:eastAsia="宋体" w:hAnsi="宋体" w:cs="宋体"/>
                <w:b/>
                <w:color w:val="000000"/>
                <w:sz w:val="44"/>
                <w:szCs w:val="44"/>
                <w:lang/>
              </w:rPr>
              <w:t>干细胞临床研究备案项目</w:t>
            </w:r>
            <w:r>
              <w:rPr>
                <w:rFonts w:ascii="宋体" w:eastAsia="宋体" w:hAnsi="宋体" w:cs="宋体" w:hint="eastAsia"/>
                <w:b/>
                <w:color w:val="000000"/>
                <w:sz w:val="44"/>
                <w:szCs w:val="44"/>
                <w:lang/>
              </w:rPr>
              <w:t>自查表</w:t>
            </w:r>
          </w:p>
          <w:p w:rsidR="005A66D2" w:rsidRDefault="005A66D2" w:rsidP="001F59B1">
            <w:pPr>
              <w:widowControl/>
              <w:ind w:firstLineChars="899" w:firstLine="3956"/>
              <w:textAlignment w:val="center"/>
              <w:rPr>
                <w:rFonts w:ascii="宋体" w:eastAsia="宋体" w:hAnsi="宋体" w:cs="宋体" w:hint="eastAsia"/>
                <w:color w:val="000000"/>
                <w:sz w:val="44"/>
                <w:szCs w:val="44"/>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r>
      <w:tr w:rsidR="005A66D2" w:rsidTr="001F59B1">
        <w:trPr>
          <w:trHeight w:val="525"/>
        </w:trPr>
        <w:tc>
          <w:tcPr>
            <w:tcW w:w="9078" w:type="dxa"/>
            <w:gridSpan w:val="4"/>
            <w:vAlign w:val="center"/>
          </w:tcPr>
          <w:p w:rsidR="005A66D2" w:rsidRDefault="005A66D2" w:rsidP="001F59B1">
            <w:pPr>
              <w:widowControl/>
              <w:jc w:val="left"/>
              <w:textAlignment w:val="center"/>
              <w:rPr>
                <w:rFonts w:ascii="黑体" w:eastAsia="黑体" w:hAnsi="黑体" w:cs="宋体" w:hint="eastAsia"/>
                <w:color w:val="000000"/>
                <w:kern w:val="0"/>
                <w:sz w:val="28"/>
                <w:szCs w:val="28"/>
                <w:lang/>
              </w:rPr>
            </w:pPr>
            <w:r>
              <w:rPr>
                <w:rFonts w:ascii="黑体" w:eastAsia="黑体" w:hAnsi="黑体" w:cs="宋体" w:hint="eastAsia"/>
                <w:color w:val="000000"/>
                <w:kern w:val="0"/>
                <w:sz w:val="28"/>
                <w:szCs w:val="28"/>
                <w:lang/>
              </w:rPr>
              <w:t xml:space="preserve">所在机构（公章）： </w:t>
            </w:r>
          </w:p>
          <w:p w:rsidR="005A66D2" w:rsidRDefault="005A66D2" w:rsidP="001F59B1">
            <w:pPr>
              <w:widowControl/>
              <w:jc w:val="left"/>
              <w:textAlignment w:val="center"/>
              <w:rPr>
                <w:rFonts w:ascii="黑体" w:eastAsia="黑体" w:hAnsi="黑体" w:cs="宋体" w:hint="eastAsia"/>
                <w:color w:val="000000"/>
                <w:kern w:val="0"/>
                <w:sz w:val="28"/>
                <w:szCs w:val="28"/>
                <w:lang/>
              </w:rPr>
            </w:pPr>
            <w:r>
              <w:rPr>
                <w:rFonts w:ascii="黑体" w:eastAsia="黑体" w:hAnsi="黑体" w:cs="宋体" w:hint="eastAsia"/>
                <w:color w:val="000000"/>
                <w:kern w:val="0"/>
                <w:sz w:val="28"/>
                <w:szCs w:val="28"/>
                <w:lang/>
              </w:rPr>
              <w:t xml:space="preserve">                                                                   </w:t>
            </w:r>
          </w:p>
          <w:p w:rsidR="005A66D2" w:rsidRDefault="005A66D2" w:rsidP="001F59B1">
            <w:pPr>
              <w:widowControl/>
              <w:jc w:val="left"/>
              <w:textAlignment w:val="center"/>
              <w:rPr>
                <w:rFonts w:ascii="黑体" w:eastAsia="黑体" w:hAnsi="黑体" w:cs="宋体" w:hint="eastAsia"/>
                <w:color w:val="000000"/>
                <w:sz w:val="28"/>
                <w:szCs w:val="28"/>
              </w:rPr>
            </w:pPr>
            <w:r>
              <w:rPr>
                <w:rFonts w:ascii="黑体" w:eastAsia="黑体" w:hAnsi="黑体" w:cs="宋体" w:hint="eastAsia"/>
                <w:color w:val="000000"/>
                <w:kern w:val="0"/>
                <w:sz w:val="28"/>
                <w:szCs w:val="28"/>
                <w:lang/>
              </w:rPr>
              <w:t xml:space="preserve">项目名称：                                                                            </w:t>
            </w:r>
          </w:p>
        </w:tc>
        <w:tc>
          <w:tcPr>
            <w:tcW w:w="5212" w:type="dxa"/>
            <w:gridSpan w:val="2"/>
            <w:vAlign w:val="center"/>
          </w:tcPr>
          <w:p w:rsidR="005A66D2" w:rsidRDefault="005A66D2" w:rsidP="001F59B1">
            <w:pPr>
              <w:widowControl/>
              <w:jc w:val="left"/>
              <w:textAlignment w:val="center"/>
              <w:rPr>
                <w:rFonts w:ascii="黑体" w:eastAsia="黑体" w:hAnsi="黑体" w:cs="宋体" w:hint="eastAsia"/>
                <w:color w:val="000000"/>
                <w:sz w:val="28"/>
                <w:szCs w:val="28"/>
              </w:rPr>
            </w:pPr>
            <w:r>
              <w:rPr>
                <w:rFonts w:ascii="黑体" w:eastAsia="黑体" w:hAnsi="黑体" w:cs="宋体" w:hint="eastAsia"/>
                <w:color w:val="000000"/>
                <w:sz w:val="28"/>
                <w:szCs w:val="28"/>
              </w:rPr>
              <w:t xml:space="preserve">机构法定代表人亲笔签名：  </w:t>
            </w:r>
          </w:p>
          <w:p w:rsidR="005A66D2" w:rsidRDefault="005A66D2" w:rsidP="001F59B1">
            <w:pPr>
              <w:widowControl/>
              <w:jc w:val="left"/>
              <w:textAlignment w:val="center"/>
              <w:rPr>
                <w:rFonts w:ascii="黑体" w:eastAsia="黑体" w:hAnsi="黑体" w:cs="宋体" w:hint="eastAsia"/>
                <w:color w:val="000000"/>
                <w:sz w:val="28"/>
                <w:szCs w:val="28"/>
              </w:rPr>
            </w:pPr>
            <w:r>
              <w:rPr>
                <w:rFonts w:ascii="黑体" w:eastAsia="黑体" w:hAnsi="黑体" w:cs="宋体" w:hint="eastAsia"/>
                <w:color w:val="000000"/>
                <w:sz w:val="28"/>
                <w:szCs w:val="28"/>
              </w:rPr>
              <w:t xml:space="preserve">       </w:t>
            </w:r>
          </w:p>
          <w:p w:rsidR="005A66D2" w:rsidRDefault="005A66D2" w:rsidP="001F59B1">
            <w:pPr>
              <w:widowControl/>
              <w:jc w:val="left"/>
              <w:textAlignment w:val="center"/>
              <w:rPr>
                <w:rFonts w:ascii="黑体" w:eastAsia="黑体" w:hAnsi="黑体" w:cs="宋体" w:hint="eastAsia"/>
                <w:color w:val="000000"/>
                <w:sz w:val="28"/>
                <w:szCs w:val="28"/>
              </w:rPr>
            </w:pPr>
            <w:r>
              <w:rPr>
                <w:rFonts w:ascii="黑体" w:eastAsia="黑体" w:hAnsi="黑体" w:cs="宋体" w:hint="eastAsia"/>
                <w:color w:val="000000"/>
                <w:sz w:val="28"/>
                <w:szCs w:val="28"/>
              </w:rPr>
              <w:t>项目负责人亲笔签名 ：</w:t>
            </w:r>
          </w:p>
        </w:tc>
        <w:tc>
          <w:tcPr>
            <w:tcW w:w="985" w:type="dxa"/>
            <w:vAlign w:val="center"/>
          </w:tcPr>
          <w:p w:rsidR="005A66D2" w:rsidRDefault="005A66D2" w:rsidP="001F59B1">
            <w:pPr>
              <w:rPr>
                <w:rFonts w:ascii="黑体" w:eastAsia="黑体" w:hAnsi="黑体" w:cs="宋体" w:hint="eastAsia"/>
                <w:color w:val="000000"/>
                <w:sz w:val="28"/>
                <w:szCs w:val="28"/>
              </w:rPr>
            </w:pPr>
          </w:p>
        </w:tc>
        <w:tc>
          <w:tcPr>
            <w:tcW w:w="985" w:type="dxa"/>
            <w:vAlign w:val="center"/>
          </w:tcPr>
          <w:p w:rsidR="005A66D2" w:rsidRDefault="005A66D2" w:rsidP="001F59B1">
            <w:pPr>
              <w:rPr>
                <w:rFonts w:ascii="黑体" w:eastAsia="黑体" w:hAnsi="黑体" w:cs="宋体" w:hint="eastAsia"/>
                <w:color w:val="000000"/>
                <w:sz w:val="28"/>
                <w:szCs w:val="28"/>
              </w:rPr>
            </w:pPr>
          </w:p>
        </w:tc>
        <w:tc>
          <w:tcPr>
            <w:tcW w:w="985" w:type="dxa"/>
            <w:vAlign w:val="center"/>
          </w:tcPr>
          <w:p w:rsidR="005A66D2" w:rsidRDefault="005A66D2" w:rsidP="001F59B1">
            <w:pPr>
              <w:rPr>
                <w:rFonts w:ascii="黑体" w:eastAsia="黑体" w:hAnsi="黑体" w:cs="宋体" w:hint="eastAsia"/>
                <w:color w:val="000000"/>
                <w:sz w:val="28"/>
                <w:szCs w:val="28"/>
              </w:rPr>
            </w:pPr>
          </w:p>
        </w:tc>
      </w:tr>
      <w:tr w:rsidR="005A66D2" w:rsidTr="001F59B1">
        <w:trPr>
          <w:trHeight w:val="720"/>
        </w:trPr>
        <w:tc>
          <w:tcPr>
            <w:tcW w:w="5717" w:type="dxa"/>
            <w:gridSpan w:val="3"/>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宋体" w:eastAsia="宋体" w:hAnsi="宋体" w:cs="宋体" w:hint="eastAsia"/>
                <w:b/>
                <w:sz w:val="28"/>
                <w:szCs w:val="28"/>
              </w:rPr>
            </w:pPr>
            <w:r>
              <w:rPr>
                <w:rFonts w:ascii="宋体" w:eastAsia="宋体" w:hAnsi="宋体" w:cs="宋体" w:hint="eastAsia"/>
                <w:b/>
                <w:kern w:val="0"/>
                <w:sz w:val="28"/>
                <w:szCs w:val="28"/>
                <w:lang/>
              </w:rPr>
              <w:t>核查事项</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宋体" w:eastAsia="宋体" w:hAnsi="宋体" w:cs="宋体" w:hint="eastAsia"/>
                <w:b/>
                <w:sz w:val="28"/>
                <w:szCs w:val="28"/>
              </w:rPr>
            </w:pPr>
            <w:r>
              <w:rPr>
                <w:rFonts w:ascii="宋体" w:eastAsia="宋体" w:hAnsi="宋体" w:cs="宋体" w:hint="eastAsia"/>
                <w:b/>
                <w:kern w:val="0"/>
                <w:sz w:val="28"/>
                <w:szCs w:val="28"/>
                <w:lang/>
              </w:rPr>
              <w:t>核查内容</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宋体" w:eastAsia="宋体" w:hAnsi="宋体" w:cs="宋体" w:hint="eastAsia"/>
                <w:b/>
                <w:sz w:val="28"/>
                <w:szCs w:val="28"/>
              </w:rPr>
            </w:pPr>
            <w:r>
              <w:rPr>
                <w:rFonts w:ascii="宋体" w:eastAsia="宋体" w:hAnsi="宋体" w:cs="宋体" w:hint="eastAsia"/>
                <w:b/>
                <w:kern w:val="0"/>
                <w:sz w:val="28"/>
                <w:szCs w:val="28"/>
                <w:lang/>
              </w:rPr>
              <w:t>核查结果</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宋体" w:eastAsia="宋体" w:hAnsi="宋体" w:cs="宋体" w:hint="eastAsia"/>
                <w:b/>
                <w:color w:val="000000"/>
                <w:sz w:val="28"/>
                <w:szCs w:val="28"/>
              </w:rPr>
            </w:pPr>
            <w:r>
              <w:rPr>
                <w:rFonts w:ascii="宋体" w:eastAsia="宋体" w:hAnsi="宋体" w:cs="宋体" w:hint="eastAsia"/>
                <w:b/>
                <w:color w:val="000000"/>
                <w:kern w:val="0"/>
                <w:sz w:val="28"/>
                <w:szCs w:val="28"/>
                <w:lang/>
              </w:rPr>
              <w:t>备注</w:t>
            </w: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r>
      <w:tr w:rsidR="005A66D2" w:rsidTr="001F59B1">
        <w:trPr>
          <w:trHeight w:val="1740"/>
        </w:trPr>
        <w:tc>
          <w:tcPr>
            <w:tcW w:w="991" w:type="dxa"/>
            <w:vMerge w:val="restart"/>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center"/>
              <w:textAlignment w:val="center"/>
              <w:rPr>
                <w:rFonts w:ascii="仿宋" w:eastAsia="仿宋" w:hAnsi="仿宋" w:cs="仿宋"/>
                <w:sz w:val="24"/>
              </w:rPr>
            </w:pPr>
            <w:r>
              <w:rPr>
                <w:rFonts w:ascii="仿宋" w:eastAsia="仿宋" w:hAnsi="仿宋" w:cs="仿宋" w:hint="eastAsia"/>
                <w:kern w:val="0"/>
                <w:sz w:val="24"/>
                <w:lang/>
              </w:rPr>
              <w:t>1.干细胞临床研究</w:t>
            </w:r>
          </w:p>
        </w:tc>
        <w:tc>
          <w:tcPr>
            <w:tcW w:w="1505" w:type="dxa"/>
            <w:vMerge w:val="restart"/>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1.1合</w:t>
            </w:r>
            <w:proofErr w:type="gramStart"/>
            <w:r>
              <w:rPr>
                <w:rFonts w:ascii="仿宋" w:eastAsia="仿宋" w:hAnsi="仿宋" w:cs="仿宋" w:hint="eastAsia"/>
                <w:kern w:val="0"/>
                <w:sz w:val="24"/>
                <w:lang/>
              </w:rPr>
              <w:t>规</w:t>
            </w:r>
            <w:proofErr w:type="gramEnd"/>
            <w:r>
              <w:rPr>
                <w:rFonts w:ascii="仿宋" w:eastAsia="仿宋" w:hAnsi="仿宋" w:cs="仿宋" w:hint="eastAsia"/>
                <w:kern w:val="0"/>
                <w:sz w:val="24"/>
                <w:lang/>
              </w:rPr>
              <w:t>性</w:t>
            </w: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1.1.1项目实施前向国家卫生健康委与国家药监局备案</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查看项目备案材料和研究记录，确认临床研究病例入组时间是在项目备案之后。已经完成备案的项目在医学研究登记备案信息系统应当有登记</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color w:val="000000"/>
                <w:sz w:val="24"/>
              </w:rPr>
            </w:pPr>
          </w:p>
        </w:tc>
        <w:tc>
          <w:tcPr>
            <w:tcW w:w="985" w:type="dxa"/>
            <w:vAlign w:val="center"/>
          </w:tcPr>
          <w:p w:rsidR="005A66D2" w:rsidRDefault="005A66D2" w:rsidP="001F59B1">
            <w:pPr>
              <w:rPr>
                <w:rFonts w:ascii="宋体" w:eastAsia="宋体" w:hAnsi="宋体" w:cs="宋体" w:hint="eastAsia"/>
                <w:color w:val="000000"/>
                <w:sz w:val="24"/>
              </w:rPr>
            </w:pPr>
          </w:p>
        </w:tc>
        <w:tc>
          <w:tcPr>
            <w:tcW w:w="985" w:type="dxa"/>
            <w:vAlign w:val="center"/>
          </w:tcPr>
          <w:p w:rsidR="005A66D2" w:rsidRDefault="005A66D2" w:rsidP="001F59B1">
            <w:pPr>
              <w:rPr>
                <w:rFonts w:ascii="宋体" w:eastAsia="宋体" w:hAnsi="宋体" w:cs="宋体" w:hint="eastAsia"/>
                <w:color w:val="000000"/>
                <w:sz w:val="24"/>
              </w:rPr>
            </w:pPr>
          </w:p>
        </w:tc>
        <w:tc>
          <w:tcPr>
            <w:tcW w:w="985" w:type="dxa"/>
            <w:vAlign w:val="center"/>
          </w:tcPr>
          <w:p w:rsidR="005A66D2" w:rsidRDefault="005A66D2" w:rsidP="001F59B1">
            <w:pPr>
              <w:rPr>
                <w:rFonts w:ascii="宋体" w:eastAsia="宋体" w:hAnsi="宋体" w:cs="宋体" w:hint="eastAsia"/>
                <w:color w:val="000000"/>
                <w:sz w:val="24"/>
              </w:rPr>
            </w:pPr>
          </w:p>
        </w:tc>
      </w:tr>
      <w:tr w:rsidR="005A66D2" w:rsidTr="001F59B1">
        <w:trPr>
          <w:trHeight w:val="1050"/>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1.1.2不得向受试者收取干细胞临床研究相关费用</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查看病人病例和收费记录，确认未向受试者收取干细胞临床研究相关费用</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r>
      <w:tr w:rsidR="005A66D2" w:rsidTr="001F59B1">
        <w:trPr>
          <w:trHeight w:val="1170"/>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1.1.3不得发布或变相发布干细胞临床研究广告</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查看病例招募信息或询问受试者，确认</w:t>
            </w:r>
            <w:proofErr w:type="gramStart"/>
            <w:r>
              <w:rPr>
                <w:rFonts w:ascii="仿宋_GB2312" w:hAnsi="仿宋" w:cs="仿宋" w:hint="eastAsia"/>
                <w:kern w:val="0"/>
                <w:sz w:val="24"/>
                <w:lang/>
              </w:rPr>
              <w:t>未发布</w:t>
            </w:r>
            <w:proofErr w:type="gramEnd"/>
            <w:r>
              <w:rPr>
                <w:rFonts w:ascii="仿宋_GB2312" w:hAnsi="仿宋" w:cs="仿宋" w:hint="eastAsia"/>
                <w:kern w:val="0"/>
                <w:sz w:val="24"/>
                <w:lang/>
              </w:rPr>
              <w:t>或变相发布宣传干细胞治疗效果的内容</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c>
          <w:tcPr>
            <w:tcW w:w="985" w:type="dxa"/>
            <w:vAlign w:val="center"/>
          </w:tcPr>
          <w:p w:rsidR="005A66D2" w:rsidRDefault="005A66D2" w:rsidP="001F59B1">
            <w:pPr>
              <w:rPr>
                <w:rFonts w:ascii="宋体" w:eastAsia="宋体" w:hAnsi="宋体" w:cs="宋体" w:hint="eastAsia"/>
                <w:color w:val="000000"/>
                <w:sz w:val="22"/>
                <w:szCs w:val="22"/>
              </w:rPr>
            </w:pPr>
          </w:p>
        </w:tc>
      </w:tr>
      <w:tr w:rsidR="005A66D2" w:rsidTr="001F59B1">
        <w:trPr>
          <w:trHeight w:val="1291"/>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1.1.4研究人员严格按照已经审查、备案的研究方案开展研究</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对照备案研究方案和研究记录，确认研究实施方案与已备案的方案一致，如有方案变更已经备案</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981"/>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val="restart"/>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1.2符合GCP的要求</w:t>
            </w: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1.2.1知情同意书</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查看供者和受试者知情同意书，确认知情书的语言通俗、清晰、准确，内容包括干细胞临床研究的目的、意义和内容，预期受益和潜在的风险</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110"/>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1.2.2供者和受试者在自愿原则下签署知情同意书</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查看供者和受试者知情同意书，确认知情同意书由本人或监护人签字</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960"/>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1.2.3研究记录</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查看研究原始记录，确认记录没有涂改，CRF表数据与病历记录一致</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065"/>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1.2.4研究记录电子备份</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查看研究记录及其电子备份，确认研究记录均有电子记录</w:t>
            </w:r>
            <w:proofErr w:type="gramStart"/>
            <w:r>
              <w:rPr>
                <w:rFonts w:ascii="仿宋_GB2312" w:hAnsi="仿宋" w:cs="仿宋" w:hint="eastAsia"/>
                <w:kern w:val="0"/>
                <w:sz w:val="24"/>
                <w:lang/>
              </w:rPr>
              <w:t>并内容</w:t>
            </w:r>
            <w:proofErr w:type="gramEnd"/>
            <w:r>
              <w:rPr>
                <w:rFonts w:ascii="仿宋_GB2312" w:hAnsi="仿宋" w:cs="仿宋" w:hint="eastAsia"/>
                <w:kern w:val="0"/>
                <w:sz w:val="24"/>
                <w:lang/>
              </w:rPr>
              <w:t>一致</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906"/>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1.2.5研究记录保管</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查看研究记录保管制度、存放条件和研究档案，确认已经制定研究记录保管制度，并有专门的部门和专门的人保管；干细胞制剂制备和院内检验、使用、研究和随访记录能够关联并一致</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945"/>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1.2.6研究数据</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查看统计数据、CRF表、原始记录，确认数据一致</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2146"/>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1.2.7严重不良反应或不良事件处置</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查看严重不良反应或不良事件报告制度和处理措施，核对病历和研究记录，确认所有不良反应和不良事件均已记录，严重不良反应或不良事件已按要求报告，并得到妥善处理</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140"/>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auto"/>
              <w:bottom w:val="single" w:sz="4" w:space="0" w:color="auto"/>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auto"/>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1.2.8研究进展登记</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查看登记信息，确认研究进展已按年度在我国医学研究登记备案信息系统进行登记</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336"/>
        </w:trPr>
        <w:tc>
          <w:tcPr>
            <w:tcW w:w="991" w:type="dxa"/>
            <w:vMerge w:val="restart"/>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2.干细胞制剂</w:t>
            </w:r>
          </w:p>
        </w:tc>
        <w:tc>
          <w:tcPr>
            <w:tcW w:w="1505" w:type="dxa"/>
            <w:vMerge w:val="restart"/>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2.1干细胞来源</w:t>
            </w:r>
          </w:p>
        </w:tc>
        <w:tc>
          <w:tcPr>
            <w:tcW w:w="3221" w:type="dxa"/>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2.1.1干细胞来源和获取途径</w:t>
            </w:r>
          </w:p>
        </w:tc>
        <w:tc>
          <w:tcPr>
            <w:tcW w:w="3361" w:type="dxa"/>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查看干细胞或人体标本的采集记录，确认所有供者均签有知情同意书，采集是在医疗机构完成</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200"/>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2.1.2供体筛查</w:t>
            </w:r>
          </w:p>
        </w:tc>
        <w:tc>
          <w:tcPr>
            <w:tcW w:w="3361" w:type="dxa"/>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查看供体筛查标准和供者检查记录，确认所有供者按供体筛查标准进行了检验并符合要求</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516"/>
        </w:trPr>
        <w:tc>
          <w:tcPr>
            <w:tcW w:w="991" w:type="dxa"/>
            <w:vMerge/>
            <w:tcBorders>
              <w:top w:val="single" w:sz="4" w:space="0" w:color="auto"/>
              <w:left w:val="single" w:sz="4" w:space="0" w:color="auto"/>
              <w:bottom w:val="single" w:sz="4" w:space="0" w:color="auto"/>
              <w:right w:val="single" w:sz="4" w:space="0" w:color="auto"/>
            </w:tcBorders>
            <w:vAlign w:val="center"/>
          </w:tcPr>
          <w:p w:rsidR="005A66D2" w:rsidRDefault="005A66D2" w:rsidP="001F59B1">
            <w:pPr>
              <w:jc w:val="center"/>
              <w:rPr>
                <w:rFonts w:ascii="仿宋" w:eastAsia="仿宋" w:hAnsi="仿宋" w:cs="仿宋" w:hint="eastAsia"/>
                <w:sz w:val="24"/>
              </w:rPr>
            </w:pPr>
          </w:p>
        </w:tc>
        <w:tc>
          <w:tcPr>
            <w:tcW w:w="1505" w:type="dxa"/>
            <w:vMerge w:val="restart"/>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center"/>
              <w:textAlignment w:val="center"/>
              <w:rPr>
                <w:rFonts w:ascii="仿宋" w:eastAsia="仿宋" w:hAnsi="仿宋" w:cs="仿宋" w:hint="eastAsia"/>
                <w:kern w:val="0"/>
                <w:sz w:val="24"/>
                <w:lang/>
              </w:rPr>
            </w:pPr>
            <w:r>
              <w:rPr>
                <w:rFonts w:ascii="仿宋" w:eastAsia="仿宋" w:hAnsi="仿宋" w:cs="仿宋" w:hint="eastAsia"/>
                <w:kern w:val="0"/>
                <w:sz w:val="24"/>
                <w:lang/>
              </w:rPr>
              <w:t>2.2干细胞制备</w:t>
            </w:r>
          </w:p>
        </w:tc>
        <w:tc>
          <w:tcPr>
            <w:tcW w:w="3221" w:type="dxa"/>
            <w:tcBorders>
              <w:top w:val="single" w:sz="4" w:space="0" w:color="auto"/>
              <w:left w:val="single" w:sz="4" w:space="0" w:color="auto"/>
              <w:bottom w:val="single" w:sz="4" w:space="0" w:color="auto"/>
              <w:right w:val="single" w:sz="4" w:space="0" w:color="auto"/>
            </w:tcBorders>
            <w:vAlign w:val="center"/>
          </w:tcPr>
          <w:p w:rsidR="005A66D2" w:rsidRDefault="005A66D2" w:rsidP="001F59B1">
            <w:pPr>
              <w:widowControl/>
              <w:jc w:val="left"/>
              <w:textAlignment w:val="center"/>
              <w:rPr>
                <w:rFonts w:ascii="仿宋" w:eastAsia="仿宋" w:hAnsi="仿宋" w:cs="仿宋" w:hint="eastAsia"/>
                <w:kern w:val="0"/>
                <w:sz w:val="24"/>
                <w:lang/>
              </w:rPr>
            </w:pPr>
            <w:r>
              <w:rPr>
                <w:rFonts w:ascii="仿宋" w:eastAsia="仿宋" w:hAnsi="仿宋" w:cs="仿宋" w:hint="eastAsia"/>
                <w:kern w:val="0"/>
                <w:sz w:val="24"/>
                <w:lang/>
              </w:rPr>
              <w:t>2.2.1 制备人员</w:t>
            </w:r>
          </w:p>
        </w:tc>
        <w:tc>
          <w:tcPr>
            <w:tcW w:w="3361" w:type="dxa"/>
            <w:tcBorders>
              <w:top w:val="single" w:sz="4" w:space="0" w:color="000000"/>
              <w:left w:val="single" w:sz="4" w:space="0" w:color="auto"/>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查看干细胞制备人员档案，确认相关人员专业背景、培训和数量能满足干细胞制备和质量控制的需要</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2281"/>
        </w:trPr>
        <w:tc>
          <w:tcPr>
            <w:tcW w:w="991" w:type="dxa"/>
            <w:vMerge/>
            <w:tcBorders>
              <w:top w:val="single" w:sz="4" w:space="0" w:color="auto"/>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auto"/>
              <w:left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2"/>
                <w:szCs w:val="22"/>
              </w:rPr>
            </w:pPr>
          </w:p>
        </w:tc>
        <w:tc>
          <w:tcPr>
            <w:tcW w:w="3221" w:type="dxa"/>
            <w:tcBorders>
              <w:top w:val="single" w:sz="4" w:space="0" w:color="auto"/>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2.2.2 制备场地、仪器设备、环境</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 xml:space="preserve">查看干细胞制备平面设计图、场所、制备室环境监测报告、仪器运行记录，确认制备实验室（车间）分区合理，洁净度符合操作要求，仪器设备得到了合理的维护，有独立的质控区并能开展相关质量检测项目 </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32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2"/>
                <w:szCs w:val="22"/>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2.2.3 标准操作规范</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查看标准操作规范和操作记录，确认相关操作规范均已建立，且操作步骤清晰、明确，操作人员按照标准操作规程操作</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62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val="restart"/>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2.3干细胞质控</w:t>
            </w: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2.3.1 质量保证部门</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查看制备机构组织机构图，确认建立了独立的质量保证部门，质量保证部门负责人不与制备机构负责人或制备人员重叠</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44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2.3.2 质量管理手册</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查看质量管理手册，确认已经制定质量管理手册，文件内容包括了与干细胞制剂质量相关的所有环节，质量管理相关制度得到落实</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204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2.3.3 原辅材料管理</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查看原辅材料质量管理制度、原辅材料仓库（仓贮区）和原辅材料出入库记录，确认已经制定原辅材料质量管理制度，并按制度进行原辅材料保管、质量检测和放行</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816"/>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2.3.4 制剂质量标准</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查看干细胞制剂质量标准和检测报告，确认已经制定干细胞制剂的全面质量标准和放行标准，质量标准能够反映细胞的生物学特征、活性和安全性</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140"/>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val="restart"/>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 xml:space="preserve">2.4记录、 放行和其他 </w:t>
            </w: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2.4.1 制备批记录</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查看干细胞制备记录，确认制备记录能够全面、详细、准确反映制备全过程</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426"/>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2.4.2 放行记录</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查看干细胞制剂放行标准规程和放行记录，确认干细胞制剂放行</w:t>
            </w:r>
            <w:proofErr w:type="gramStart"/>
            <w:r>
              <w:rPr>
                <w:rFonts w:ascii="仿宋_GB2312" w:hAnsi="仿宋" w:cs="仿宋" w:hint="eastAsia"/>
                <w:kern w:val="0"/>
                <w:sz w:val="24"/>
                <w:lang/>
              </w:rPr>
              <w:t>检验按</w:t>
            </w:r>
            <w:proofErr w:type="gramEnd"/>
            <w:r>
              <w:rPr>
                <w:rFonts w:ascii="仿宋_GB2312" w:hAnsi="仿宋" w:cs="仿宋" w:hint="eastAsia"/>
                <w:kern w:val="0"/>
                <w:sz w:val="24"/>
                <w:lang/>
              </w:rPr>
              <w:t>标准开展，放行符合标准操作规程并有质量受权人审</w:t>
            </w:r>
            <w:r>
              <w:rPr>
                <w:rFonts w:ascii="仿宋_GB2312" w:hAnsi="仿宋" w:cs="仿宋" w:hint="eastAsia"/>
                <w:kern w:val="0"/>
                <w:sz w:val="24"/>
                <w:lang/>
              </w:rPr>
              <w:lastRenderedPageBreak/>
              <w:t>核</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204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2.4.3 制剂标签管理</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查看干细胞制剂编码标准操作规程、标签和干细胞制剂的储存</w:t>
            </w:r>
            <w:r>
              <w:rPr>
                <w:rFonts w:ascii="宋体" w:eastAsia="宋体" w:hAnsi="宋体" w:cs="宋体" w:hint="eastAsia"/>
                <w:kern w:val="0"/>
                <w:sz w:val="24"/>
                <w:lang/>
              </w:rPr>
              <w:t>﹑</w:t>
            </w:r>
            <w:r>
              <w:rPr>
                <w:rFonts w:ascii="仿宋_GB2312" w:hAnsi="仿宋_GB2312" w:cs="仿宋_GB2312" w:hint="eastAsia"/>
                <w:kern w:val="0"/>
                <w:sz w:val="24"/>
                <w:lang/>
              </w:rPr>
              <w:t>运输及使用记录，确认干细胞制剂的标签内容信息可以追溯到供者和制备、储存</w:t>
            </w:r>
            <w:r>
              <w:rPr>
                <w:rFonts w:ascii="宋体" w:eastAsia="宋体" w:hAnsi="宋体" w:cs="宋体" w:hint="eastAsia"/>
                <w:kern w:val="0"/>
                <w:sz w:val="24"/>
                <w:lang/>
              </w:rPr>
              <w:t>﹑</w:t>
            </w:r>
            <w:r>
              <w:rPr>
                <w:rFonts w:ascii="仿宋_GB2312" w:hAnsi="仿宋_GB2312" w:cs="仿宋_GB2312" w:hint="eastAsia"/>
                <w:kern w:val="0"/>
                <w:sz w:val="24"/>
                <w:lang/>
              </w:rPr>
              <w:t>运输及使用记录</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50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2.4.4 不合格和剩余制剂处理措施</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查看不合格和剩余制剂处理标准操作规程和记录，确认不合格和剩余制剂处理符合伦理和生物安全</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left"/>
              <w:rPr>
                <w:rFonts w:ascii="仿宋" w:eastAsia="仿宋" w:hAnsi="仿宋" w:cs="仿宋" w:hint="eastAsia"/>
                <w:sz w:val="24"/>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仿宋" w:eastAsia="仿宋" w:hAnsi="仿宋" w:cs="仿宋"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245"/>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val="restart"/>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center"/>
              <w:textAlignment w:val="center"/>
              <w:rPr>
                <w:rFonts w:ascii="仿宋" w:eastAsia="仿宋" w:hAnsi="仿宋" w:cs="仿宋" w:hint="eastAsia"/>
                <w:sz w:val="24"/>
              </w:rPr>
            </w:pPr>
            <w:r>
              <w:rPr>
                <w:rFonts w:ascii="仿宋" w:eastAsia="仿宋" w:hAnsi="仿宋" w:cs="仿宋" w:hint="eastAsia"/>
                <w:kern w:val="0"/>
                <w:sz w:val="24"/>
                <w:lang/>
              </w:rPr>
              <w:t>2.5干细胞制剂院内质量管理(仅限于由合作方提供干细胞）</w:t>
            </w: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2.5.1干细胞制剂制备机构质量管理体系评估</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查看医疗机构干细胞制剂制备质量管理审计制度和记录，确认医疗机构对制备机构的质量管理体系进行了全面评估和持续评估。</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726"/>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2.5.2细胞运输和暂存的稳定性研究</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查看细胞运输和暂存的稳定性研究报告和运输记录，确认需要运输或暂存的干细胞制剂开展了稳定性研究，经过运输或暂存后的细胞质量不受影响或在正常范围</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050"/>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2.5.3院内干细胞制剂的操作</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查看干细胞院内操作记录，确认需要进行的院内操作是在与操作相适应的洁净</w:t>
            </w:r>
            <w:proofErr w:type="gramStart"/>
            <w:r>
              <w:rPr>
                <w:rFonts w:ascii="仿宋_GB2312" w:hAnsi="仿宋" w:cs="仿宋" w:hint="eastAsia"/>
                <w:kern w:val="0"/>
                <w:sz w:val="24"/>
                <w:lang/>
              </w:rPr>
              <w:t>度环境</w:t>
            </w:r>
            <w:proofErr w:type="gramEnd"/>
            <w:r>
              <w:rPr>
                <w:rFonts w:ascii="仿宋_GB2312" w:hAnsi="仿宋" w:cs="仿宋" w:hint="eastAsia"/>
                <w:kern w:val="0"/>
                <w:sz w:val="24"/>
                <w:lang/>
              </w:rPr>
              <w:t>下进行</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65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2.5.4干细胞制剂的接收</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查看干细胞制剂使用申请制度和申请单、以及院内接收规程和接收记录，确认干细胞制剂使用前需申请，并有专门的部门和专人负责干细胞制剂的接收并有记录</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2191"/>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2.5.5干细胞制剂使用前的检验</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查看干细胞院内检测报告，确认</w:t>
            </w:r>
            <w:proofErr w:type="gramStart"/>
            <w:r>
              <w:rPr>
                <w:rFonts w:ascii="仿宋_GB2312" w:hAnsi="仿宋" w:cs="仿宋" w:hint="eastAsia"/>
                <w:kern w:val="0"/>
                <w:sz w:val="24"/>
                <w:lang/>
              </w:rPr>
              <w:t>经运输</w:t>
            </w:r>
            <w:proofErr w:type="gramEnd"/>
            <w:r>
              <w:rPr>
                <w:rFonts w:ascii="仿宋_GB2312" w:hAnsi="仿宋" w:cs="仿宋" w:hint="eastAsia"/>
                <w:kern w:val="0"/>
                <w:sz w:val="24"/>
                <w:lang/>
              </w:rPr>
              <w:t>后的干细胞制剂在使用前进行了必要的检验如计数、存活率等。如果在院内还进行了复杂操作如培养、复苏等，确认放行检验是在上述操作完成后在院内完成</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696"/>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2.5.6 放行管理</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查看干细胞制剂放行管理制度和放行记录，确认干细胞在出制备机构和在医院内使用前均有放行记录，制备机构和医疗机构质量受权人均履行了职责</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r w:rsidR="005A66D2" w:rsidTr="001F59B1">
        <w:trPr>
          <w:trHeight w:val="1606"/>
        </w:trPr>
        <w:tc>
          <w:tcPr>
            <w:tcW w:w="991"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1505" w:type="dxa"/>
            <w:vMerge/>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jc w:val="center"/>
              <w:rPr>
                <w:rFonts w:ascii="仿宋" w:eastAsia="仿宋" w:hAnsi="仿宋" w:cs="仿宋" w:hint="eastAsia"/>
                <w:sz w:val="24"/>
              </w:rPr>
            </w:pPr>
          </w:p>
        </w:tc>
        <w:tc>
          <w:tcPr>
            <w:tcW w:w="322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2.5.7留样</w:t>
            </w:r>
          </w:p>
        </w:tc>
        <w:tc>
          <w:tcPr>
            <w:tcW w:w="3361"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widowControl/>
              <w:jc w:val="left"/>
              <w:textAlignment w:val="center"/>
              <w:rPr>
                <w:rFonts w:ascii="仿宋_GB2312" w:hAnsi="仿宋" w:cs="仿宋" w:hint="eastAsia"/>
                <w:sz w:val="24"/>
              </w:rPr>
            </w:pPr>
            <w:r>
              <w:rPr>
                <w:rFonts w:ascii="仿宋_GB2312" w:hAnsi="仿宋" w:cs="仿宋" w:hint="eastAsia"/>
                <w:kern w:val="0"/>
                <w:sz w:val="24"/>
                <w:lang/>
              </w:rPr>
              <w:t>查看干细胞制剂留样记录和留样，确认干细胞制剂使用后均有留样，留样时间可以满足干细胞制剂质量和临床研究追溯需要</w:t>
            </w: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2606" w:type="dxa"/>
            <w:tcBorders>
              <w:top w:val="single" w:sz="4" w:space="0" w:color="000000"/>
              <w:left w:val="single" w:sz="4" w:space="0" w:color="000000"/>
              <w:bottom w:val="single" w:sz="4" w:space="0" w:color="000000"/>
              <w:right w:val="single" w:sz="4" w:space="0" w:color="000000"/>
            </w:tcBorders>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c>
          <w:tcPr>
            <w:tcW w:w="985" w:type="dxa"/>
            <w:vAlign w:val="center"/>
          </w:tcPr>
          <w:p w:rsidR="005A66D2" w:rsidRDefault="005A66D2" w:rsidP="001F59B1">
            <w:pPr>
              <w:rPr>
                <w:rFonts w:ascii="宋体" w:eastAsia="宋体" w:hAnsi="宋体" w:cs="宋体" w:hint="eastAsia"/>
                <w:sz w:val="22"/>
                <w:szCs w:val="22"/>
              </w:rPr>
            </w:pPr>
          </w:p>
        </w:tc>
      </w:tr>
    </w:tbl>
    <w:p w:rsidR="005A66D2" w:rsidRDefault="005A66D2" w:rsidP="005A66D2">
      <w:pPr>
        <w:rPr>
          <w:rFonts w:ascii="Calibri" w:eastAsia="宋体" w:hAnsi="Calibri"/>
          <w:sz w:val="21"/>
        </w:rPr>
      </w:pPr>
    </w:p>
    <w:p w:rsidR="005A66D2" w:rsidRDefault="005A66D2" w:rsidP="005A66D2">
      <w:pPr>
        <w:pStyle w:val="1"/>
        <w:ind w:rightChars="73" w:right="234"/>
        <w:rPr>
          <w:rFonts w:hAnsi="宋体" w:hint="eastAsia"/>
          <w:bCs/>
          <w:sz w:val="32"/>
          <w:szCs w:val="32"/>
        </w:rPr>
      </w:pPr>
    </w:p>
    <w:p w:rsidR="005A66D2" w:rsidRDefault="005A66D2" w:rsidP="005A66D2">
      <w:pPr>
        <w:pStyle w:val="1"/>
        <w:ind w:rightChars="73" w:right="234"/>
        <w:rPr>
          <w:rFonts w:hAnsi="宋体" w:hint="eastAsia"/>
          <w:bCs/>
          <w:sz w:val="32"/>
          <w:szCs w:val="32"/>
        </w:rPr>
      </w:pPr>
    </w:p>
    <w:p w:rsidR="00D740C6" w:rsidRPr="005A66D2" w:rsidRDefault="00D740C6"/>
    <w:sectPr w:rsidR="00D740C6" w:rsidRPr="005A66D2" w:rsidSect="005A66D2">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1A0" w:rsidRDefault="001C51A0" w:rsidP="005A66D2">
      <w:r>
        <w:separator/>
      </w:r>
    </w:p>
  </w:endnote>
  <w:endnote w:type="continuationSeparator" w:id="0">
    <w:p w:rsidR="001C51A0" w:rsidRDefault="001C51A0" w:rsidP="005A66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1A0" w:rsidRDefault="001C51A0" w:rsidP="005A66D2">
      <w:r>
        <w:separator/>
      </w:r>
    </w:p>
  </w:footnote>
  <w:footnote w:type="continuationSeparator" w:id="0">
    <w:p w:rsidR="001C51A0" w:rsidRDefault="001C51A0" w:rsidP="005A66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A66D2"/>
    <w:rsid w:val="001C51A0"/>
    <w:rsid w:val="005A66D2"/>
    <w:rsid w:val="00981CAF"/>
    <w:rsid w:val="00D740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6D2"/>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A66D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A66D2"/>
    <w:rPr>
      <w:sz w:val="18"/>
      <w:szCs w:val="18"/>
    </w:rPr>
  </w:style>
  <w:style w:type="paragraph" w:styleId="a4">
    <w:name w:val="footer"/>
    <w:basedOn w:val="a"/>
    <w:link w:val="Char0"/>
    <w:uiPriority w:val="99"/>
    <w:semiHidden/>
    <w:unhideWhenUsed/>
    <w:rsid w:val="005A66D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A66D2"/>
    <w:rPr>
      <w:sz w:val="18"/>
      <w:szCs w:val="18"/>
    </w:rPr>
  </w:style>
  <w:style w:type="paragraph" w:customStyle="1" w:styleId="1">
    <w:name w:val="样式1"/>
    <w:basedOn w:val="a"/>
    <w:rsid w:val="005A66D2"/>
    <w:rPr>
      <w:rFonts w:ascii="仿宋_GB2312"/>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424</Words>
  <Characters>2420</Characters>
  <Application>Microsoft Office Word</Application>
  <DocSecurity>0</DocSecurity>
  <Lines>20</Lines>
  <Paragraphs>5</Paragraphs>
  <ScaleCrop>false</ScaleCrop>
  <Company>Lenovo</Company>
  <LinksUpToDate>false</LinksUpToDate>
  <CharactersWithSpaces>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林云(林云:配合处室意见)</dc:creator>
  <cp:keywords/>
  <dc:description/>
  <cp:lastModifiedBy>林云(林云:配合处室意见)</cp:lastModifiedBy>
  <cp:revision>3</cp:revision>
  <dcterms:created xsi:type="dcterms:W3CDTF">2019-02-26T02:45:00Z</dcterms:created>
  <dcterms:modified xsi:type="dcterms:W3CDTF">2019-02-26T02:45:00Z</dcterms:modified>
</cp:coreProperties>
</file>